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eastAsia="宋体" w:cs="Times New Roman"/>
          <w:b/>
          <w:bCs/>
          <w:color w:val="auto"/>
          <w:spacing w:val="80"/>
          <w:sz w:val="64"/>
          <w:szCs w:val="20"/>
          <w:highlight w:val="none"/>
        </w:rPr>
      </w:pPr>
      <w:r>
        <w:rPr>
          <w:rFonts w:ascii="宋体" w:hAnsi="宋体" w:eastAsia="宋体" w:cs="Times New Roman"/>
          <w:b/>
          <w:bCs/>
          <w:color w:val="auto"/>
          <w:spacing w:val="80"/>
          <w:sz w:val="64"/>
          <w:szCs w:val="20"/>
          <w:highlight w:val="none"/>
        </w:rPr>
      </w:r>
      <w:r/>
    </w:p>
    <w:p>
      <w:pPr>
        <w:jc w:val="left"/>
        <w:spacing w:line="360" w:lineRule="auto"/>
        <w:rPr>
          <w:rFonts w:ascii="宋体" w:hAnsi="宋体" w:eastAsia="宋体" w:cs="Times New Roman"/>
          <w:b/>
          <w:bCs/>
          <w:color w:val="auto"/>
          <w:spacing w:val="80"/>
          <w:sz w:val="64"/>
          <w:szCs w:val="20"/>
          <w:highlight w:val="none"/>
        </w:rPr>
      </w:pPr>
      <w:r>
        <w:rPr>
          <w:rFonts w:ascii="宋体" w:hAnsi="宋体" w:eastAsia="宋体" w:cs="Times New Roman"/>
          <w:b/>
          <w:bCs/>
          <w:color w:val="auto"/>
          <w:spacing w:val="80"/>
          <w:sz w:val="64"/>
          <w:szCs w:val="20"/>
          <w:highlight w:val="none"/>
        </w:rPr>
      </w:r>
      <w:r/>
    </w:p>
    <w:p>
      <w:pPr>
        <w:jc w:val="center"/>
        <w:spacing w:line="360" w:lineRule="auto"/>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 xml:space="preserve">连云港市政府采购</w:t>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jc w:val="center"/>
        <w:spacing w:line="360" w:lineRule="auto"/>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 xml:space="preserve">招标文件</w:t>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left="840" w:firstLine="611"/>
        <w:spacing w:line="360" w:lineRule="auto"/>
        <w:rPr>
          <w:rFonts w:hint="eastAsia" w:ascii="宋体" w:hAnsi="宋体" w:eastAsia="宋体" w:cs="Times New Roman"/>
          <w:b/>
          <w:bCs/>
          <w:color w:val="auto"/>
          <w:spacing w:val="16"/>
          <w:sz w:val="44"/>
          <w:szCs w:val="24"/>
          <w:highlight w:val="none"/>
          <w:lang w:eastAsia="zh-CN"/>
        </w:rPr>
      </w:pPr>
      <w:r>
        <w:rPr>
          <w:rFonts w:hint="eastAsia" w:ascii="宋体" w:hAnsi="宋体" w:eastAsia="宋体" w:cs="Times New Roman"/>
          <w:b/>
          <w:bCs/>
          <w:color w:val="auto"/>
          <w:sz w:val="32"/>
          <w:szCs w:val="24"/>
          <w:highlight w:val="none"/>
        </w:rPr>
        <w:t xml:space="preserve">项目名称：</w:t>
      </w:r>
      <w:r>
        <w:rPr>
          <w:rFonts w:hint="eastAsia" w:ascii="宋体" w:hAnsi="宋体" w:eastAsia="宋体" w:cs="Times New Roman"/>
          <w:b/>
          <w:bCs/>
          <w:color w:val="auto"/>
          <w:sz w:val="32"/>
          <w:szCs w:val="24"/>
          <w:highlight w:val="none"/>
          <w:lang w:eastAsia="zh-CN"/>
        </w:rPr>
        <w:t xml:space="preserve">连云港市中医院电子胆道镜采购项目（专门面向中小企业）</w:t>
      </w:r>
      <w:r/>
    </w:p>
    <w:p>
      <w:pPr>
        <w:ind w:left="840" w:firstLine="611"/>
        <w:spacing w:line="360" w:lineRule="auto"/>
        <w:rPr>
          <w:rFonts w:hint="eastAsia" w:ascii="宋体" w:hAnsi="宋体" w:eastAsia="宋体" w:cs="Times New Roman"/>
          <w:b/>
          <w:bCs/>
          <w:color w:val="auto"/>
          <w:sz w:val="32"/>
          <w:szCs w:val="24"/>
          <w:highlight w:val="none"/>
          <w:lang w:val="en-US" w:eastAsia="zh-CN"/>
        </w:rPr>
      </w:pPr>
      <w:r>
        <w:rPr>
          <w:rFonts w:hint="eastAsia" w:ascii="宋体" w:hAnsi="宋体" w:eastAsia="宋体" w:cs="Times New Roman"/>
          <w:b/>
          <w:bCs/>
          <w:color w:val="auto"/>
          <w:sz w:val="32"/>
          <w:szCs w:val="24"/>
          <w:highlight w:val="none"/>
        </w:rPr>
        <w:t xml:space="preserve">项目编号：JSZC-320700-RHHH-G2026-0002</w:t>
      </w:r>
      <w:r/>
    </w:p>
    <w:p>
      <w:pPr>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right="-993"/>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ind w:right="-993"/>
        <w:spacing w:line="360" w:lineRule="auto"/>
        <w:rPr>
          <w:rFonts w:hint="eastAsia" w:ascii="宋体" w:hAnsi="宋体" w:cs="Times New Roman"/>
          <w:color w:val="auto"/>
          <w:szCs w:val="20"/>
          <w:highlight w:val="none"/>
        </w:rPr>
      </w:pPr>
      <w:r>
        <w:rPr>
          <w:rFonts w:hint="eastAsia" w:ascii="宋体" w:hAnsi="宋体" w:cs="Times New Roman"/>
          <w:color w:val="auto"/>
          <w:szCs w:val="20"/>
          <w:highlight w:val="none"/>
        </w:rPr>
      </w:r>
      <w:r/>
    </w:p>
    <w:p>
      <w:pPr>
        <w:ind w:left="840" w:firstLine="640"/>
        <w:spacing w:before="120" w:after="120" w:line="360" w:lineRule="auto"/>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 xml:space="preserve">采购人：</w:t>
      </w:r>
      <w:r>
        <w:rPr>
          <w:rFonts w:hint="eastAsia" w:ascii="Arial" w:hAnsi="Arial" w:eastAsia="宋体" w:cs="Times New Roman"/>
          <w:bCs/>
          <w:color w:val="auto"/>
          <w:sz w:val="32"/>
          <w:szCs w:val="24"/>
          <w:highlight w:val="none"/>
          <w:lang w:eastAsia="zh-CN"/>
        </w:rPr>
        <w:t xml:space="preserve">连云港市中医院</w:t>
      </w:r>
      <w:r/>
    </w:p>
    <w:p>
      <w:pPr>
        <w:ind w:firstLine="1280"/>
        <w:jc w:val="left"/>
        <w:spacing w:before="120" w:after="120" w:line="360" w:lineRule="auto"/>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 xml:space="preserve">采购代理机构：</w:t>
      </w:r>
      <w:r>
        <w:rPr>
          <w:rFonts w:hint="eastAsia" w:ascii="Arial" w:hAnsi="Arial" w:eastAsia="宋体" w:cs="Times New Roman"/>
          <w:bCs/>
          <w:color w:val="auto"/>
          <w:sz w:val="32"/>
          <w:szCs w:val="24"/>
          <w:highlight w:val="none"/>
          <w:lang w:eastAsia="zh-CN"/>
        </w:rPr>
        <w:t xml:space="preserve">江苏仁禾中衡工程咨询房地产估价有限公司</w:t>
      </w:r>
      <w:r/>
    </w:p>
    <w:p>
      <w:pPr>
        <w:jc w:val="center"/>
        <w:spacing w:before="120" w:after="120"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lang w:eastAsia="zh-CN"/>
        </w:rPr>
        <w:t xml:space="preserve">202</w:t>
      </w:r>
      <w:r>
        <w:rPr>
          <w:rFonts w:hint="eastAsia" w:ascii="宋体" w:hAnsi="宋体" w:eastAsia="宋体" w:cs="宋体"/>
          <w:bCs/>
          <w:color w:val="auto"/>
          <w:sz w:val="30"/>
          <w:szCs w:val="30"/>
          <w:highlight w:val="none"/>
          <w:lang w:val="en-US" w:eastAsia="zh-CN"/>
        </w:rPr>
        <w:t xml:space="preserve">6</w:t>
      </w:r>
      <w:r>
        <w:rPr>
          <w:rFonts w:hint="eastAsia" w:ascii="宋体" w:hAnsi="宋体" w:eastAsia="宋体" w:cs="宋体"/>
          <w:bCs/>
          <w:color w:val="auto"/>
          <w:sz w:val="30"/>
          <w:szCs w:val="30"/>
          <w:highlight w:val="none"/>
          <w:lang w:eastAsia="zh-CN"/>
        </w:rPr>
        <w:t xml:space="preserve">年</w:t>
      </w:r>
      <w:r>
        <w:rPr>
          <w:rFonts w:hint="eastAsia" w:ascii="宋体" w:hAnsi="宋体" w:eastAsia="宋体" w:cs="宋体"/>
          <w:bCs/>
          <w:color w:val="auto"/>
          <w:sz w:val="30"/>
          <w:szCs w:val="30"/>
          <w:highlight w:val="none"/>
          <w:lang w:val="en-US" w:eastAsia="zh-CN"/>
        </w:rPr>
        <w:t xml:space="preserve">01</w:t>
      </w:r>
      <w:r>
        <w:rPr>
          <w:rFonts w:hint="eastAsia" w:ascii="宋体" w:hAnsi="宋体" w:eastAsia="宋体" w:cs="宋体"/>
          <w:bCs/>
          <w:color w:val="auto"/>
          <w:sz w:val="30"/>
          <w:szCs w:val="30"/>
          <w:highlight w:val="none"/>
          <w:lang w:eastAsia="zh-CN"/>
        </w:rPr>
        <w:t xml:space="preserve">月</w:t>
      </w:r>
      <w:r/>
    </w:p>
    <w:p>
      <w:pPr>
        <w:jc w:val="cente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28"/>
          <w:szCs w:val="20"/>
          <w:highlight w:val="none"/>
        </w:rPr>
        <w:br w:type="page" w:clear="all"/>
      </w:r>
      <w:bookmarkStart w:id="0" w:name="_Toc3580"/>
      <w:r>
        <w:rPr>
          <w:rFonts w:hint="eastAsia" w:ascii="Times New Roman" w:hAnsi="宋体" w:eastAsia="黑体" w:cs="Times New Roman"/>
          <w:color w:val="auto"/>
          <w:sz w:val="36"/>
          <w:szCs w:val="20"/>
          <w:highlight w:val="none"/>
        </w:rPr>
        <w:t xml:space="preserve">目</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 xml:space="preserve">录</w:t>
      </w:r>
      <w:bookmarkEnd w:id="0"/>
      <w:r/>
      <w:r/>
    </w:p>
    <w:p>
      <w:pPr>
        <w:pStyle w:val="756"/>
        <w:ind w:firstLine="560"/>
        <w:tabs>
          <w:tab w:val="right" w:pos="9628" w:leader="dot"/>
        </w:tabs>
        <w:rPr>
          <w:rFonts w:ascii="宋体" w:hAnsi="宋体" w:cstheme="minorBidi"/>
          <w:b w:val="0"/>
          <w:bCs w:val="0"/>
          <w:i w:val="0"/>
          <w:iCs w:val="0"/>
          <w:color w:val="auto"/>
          <w:sz w:val="28"/>
          <w:szCs w:val="28"/>
          <w:highlight w:val="none"/>
        </w:rPr>
      </w:pPr>
      <w:r>
        <w:rPr>
          <w:rFonts w:hint="eastAsia" w:ascii="宋体" w:hAnsi="宋体"/>
          <w:b w:val="0"/>
          <w:bCs w:val="0"/>
          <w:i w:val="0"/>
          <w:color w:val="auto"/>
          <w:sz w:val="28"/>
          <w:szCs w:val="28"/>
          <w:highlight w:val="none"/>
        </w:rPr>
        <w:fldChar w:fldCharType="begin"/>
      </w:r>
      <w:r>
        <w:rPr>
          <w:rFonts w:hint="eastAsia" w:ascii="宋体" w:hAnsi="宋体"/>
          <w:i w:val="0"/>
          <w:color w:val="auto"/>
          <w:sz w:val="28"/>
          <w:szCs w:val="28"/>
          <w:highlight w:val="none"/>
        </w:rPr>
        <w:instrText xml:space="preserve">TOC \o "1-1" \h \u </w:instrText>
      </w:r>
      <w:r>
        <w:rPr>
          <w:rFonts w:hint="eastAsia" w:ascii="宋体" w:hAnsi="宋体"/>
          <w:b w:val="0"/>
          <w:bCs w:val="0"/>
          <w:i w:val="0"/>
          <w:color w:val="auto"/>
          <w:sz w:val="28"/>
          <w:szCs w:val="28"/>
          <w:highlight w:val="none"/>
        </w:rPr>
        <w:fldChar w:fldCharType="separate"/>
      </w:r>
      <w:r>
        <w:rPr>
          <w:color w:val="auto"/>
          <w:highlight w:val="none"/>
        </w:rPr>
        <w:fldChar w:fldCharType="begin"/>
      </w:r>
      <w:r>
        <w:rPr>
          <w:color w:val="auto"/>
          <w:highlight w:val="none"/>
        </w:rPr>
        <w:instrText xml:space="preserve"> HYPERLINK \l "_Toc150765434" </w:instrText>
      </w:r>
      <w:r>
        <w:rPr>
          <w:color w:val="auto"/>
          <w:highlight w:val="none"/>
        </w:rPr>
        <w:fldChar w:fldCharType="separate"/>
      </w:r>
      <w:r>
        <w:rPr>
          <w:rStyle w:val="777"/>
          <w:rFonts w:hint="eastAsia" w:ascii="宋体" w:hAnsi="宋体"/>
          <w:i w:val="0"/>
          <w:color w:val="auto"/>
          <w:sz w:val="28"/>
          <w:szCs w:val="28"/>
          <w:highlight w:val="none"/>
        </w:rPr>
        <w:t xml:space="preserve">第一章投标邀请</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_Toc150765434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 xml:space="preserve">3</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756"/>
        <w:ind w:firstLine="482"/>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"_Toc150765435" </w:instrText>
      </w:r>
      <w:r>
        <w:rPr>
          <w:color w:val="auto"/>
          <w:highlight w:val="none"/>
        </w:rPr>
        <w:fldChar w:fldCharType="separate"/>
      </w:r>
      <w:r>
        <w:rPr>
          <w:rStyle w:val="777"/>
          <w:rFonts w:hint="eastAsia" w:ascii="宋体" w:hAnsi="宋体"/>
          <w:i w:val="0"/>
          <w:color w:val="auto"/>
          <w:sz w:val="28"/>
          <w:szCs w:val="28"/>
          <w:highlight w:val="none"/>
        </w:rPr>
        <w:t xml:space="preserve">第二章投标人须知</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_Toc150765435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 xml:space="preserve">7</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756"/>
        <w:ind w:firstLine="482"/>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"_Toc150765436" </w:instrText>
      </w:r>
      <w:r>
        <w:rPr>
          <w:color w:val="auto"/>
          <w:highlight w:val="none"/>
        </w:rPr>
        <w:fldChar w:fldCharType="separate"/>
      </w:r>
      <w:r>
        <w:rPr>
          <w:rStyle w:val="777"/>
          <w:rFonts w:hint="eastAsia" w:ascii="宋体" w:hAnsi="宋体"/>
          <w:i w:val="0"/>
          <w:color w:val="auto"/>
          <w:sz w:val="28"/>
          <w:szCs w:val="28"/>
          <w:highlight w:val="none"/>
        </w:rPr>
        <w:t xml:space="preserve">第三章政府采购合同格式</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_Toc150765436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 xml:space="preserve">21</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756"/>
        <w:ind w:firstLine="482"/>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"_Toc150765437" </w:instrText>
      </w:r>
      <w:r>
        <w:rPr>
          <w:color w:val="auto"/>
          <w:highlight w:val="none"/>
        </w:rPr>
        <w:fldChar w:fldCharType="separate"/>
      </w:r>
      <w:r>
        <w:rPr>
          <w:rStyle w:val="777"/>
          <w:rFonts w:hint="eastAsia" w:ascii="宋体" w:hAnsi="宋体"/>
          <w:i w:val="0"/>
          <w:color w:val="auto"/>
          <w:sz w:val="28"/>
          <w:szCs w:val="28"/>
          <w:highlight w:val="none"/>
        </w:rPr>
        <w:t xml:space="preserve">第四章投标文件格式</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_Toc150765437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 xml:space="preserve">27</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756"/>
        <w:ind w:firstLine="482"/>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"_Toc150765438" </w:instrText>
      </w:r>
      <w:r>
        <w:rPr>
          <w:color w:val="auto"/>
          <w:highlight w:val="none"/>
        </w:rPr>
        <w:fldChar w:fldCharType="separate"/>
      </w:r>
      <w:r>
        <w:rPr>
          <w:rStyle w:val="777"/>
          <w:rFonts w:hint="eastAsia" w:ascii="宋体" w:hAnsi="宋体"/>
          <w:i w:val="0"/>
          <w:color w:val="auto"/>
          <w:sz w:val="28"/>
          <w:szCs w:val="28"/>
          <w:highlight w:val="none"/>
        </w:rPr>
        <w:t xml:space="preserve">第五章合同专用条款表</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_Toc150765438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 xml:space="preserve">44</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756"/>
        <w:ind w:firstLine="482"/>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"_Toc150765439" </w:instrText>
      </w:r>
      <w:r>
        <w:rPr>
          <w:color w:val="auto"/>
          <w:highlight w:val="none"/>
        </w:rPr>
        <w:fldChar w:fldCharType="separate"/>
      </w:r>
      <w:r>
        <w:rPr>
          <w:rStyle w:val="777"/>
          <w:rFonts w:hint="eastAsia" w:ascii="宋体" w:hAnsi="宋体"/>
          <w:i w:val="0"/>
          <w:color w:val="auto"/>
          <w:sz w:val="28"/>
          <w:szCs w:val="28"/>
          <w:highlight w:val="none"/>
        </w:rPr>
        <w:t xml:space="preserve">第六章项目需求</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_Toc150765439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 xml:space="preserve">45</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756"/>
        <w:ind w:firstLine="482"/>
        <w:tabs>
          <w:tab w:val="right" w:pos="9628" w:leader="dot"/>
        </w:tabs>
        <w:rPr>
          <w:rFonts w:hint="eastAsia"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"_Toc150765440" </w:instrText>
      </w:r>
      <w:r>
        <w:rPr>
          <w:color w:val="auto"/>
          <w:highlight w:val="none"/>
        </w:rPr>
        <w:fldChar w:fldCharType="separate"/>
      </w:r>
      <w:r>
        <w:rPr>
          <w:rStyle w:val="777"/>
          <w:rFonts w:hint="eastAsia" w:ascii="宋体" w:hAnsi="宋体"/>
          <w:i w:val="0"/>
          <w:color w:val="auto"/>
          <w:sz w:val="28"/>
          <w:szCs w:val="28"/>
          <w:highlight w:val="none"/>
        </w:rPr>
        <w:t xml:space="preserve">第七章评标办法</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 xml:space="preserve">5</w:t>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0</w:t>
      </w:r>
      <w:r/>
    </w:p>
    <w:p>
      <w:pPr>
        <w:spacing w:line="360" w:lineRule="auto"/>
        <w:tabs>
          <w:tab w:val="right" w:pos="9638" w:leader="dot"/>
        </w:tabs>
        <w:rPr>
          <w:rFonts w:ascii="宋体" w:hAnsi="宋体" w:eastAsia="宋体" w:cs="Times New Roman"/>
          <w:color w:val="auto"/>
          <w:sz w:val="44"/>
          <w:szCs w:val="20"/>
          <w:highlight w:val="none"/>
        </w:rPr>
      </w:pPr>
      <w:r>
        <w:rPr>
          <w:rFonts w:hint="eastAsia" w:ascii="宋体" w:hAnsi="宋体" w:eastAsia="宋体" w:cs="Times New Roman"/>
          <w:b/>
          <w:bCs/>
          <w:color w:val="auto"/>
          <w:sz w:val="28"/>
          <w:szCs w:val="28"/>
          <w:highlight w:val="none"/>
        </w:rPr>
        <w:fldChar w:fldCharType="end"/>
      </w:r>
      <w:r/>
    </w:p>
    <w:p>
      <w:pPr>
        <w:jc w:val="center"/>
        <w:keepLines/>
        <w:keepNext/>
        <w:spacing w:line="360" w:lineRule="auto"/>
        <w:rPr>
          <w:rFonts w:ascii="Times New Roman" w:hAnsi="宋体" w:eastAsia="黑体" w:cs="Times New Roman"/>
          <w:color w:val="auto"/>
          <w:sz w:val="36"/>
          <w:szCs w:val="20"/>
          <w:highlight w:val="none"/>
        </w:rPr>
        <w:outlineLvl w:val="0"/>
      </w:pPr>
      <w:r/>
      <w:bookmarkStart w:id="1" w:name="_Toc139966426"/>
      <w:r/>
      <w:bookmarkStart w:id="2" w:name="_Toc139967210"/>
      <w:r>
        <w:rPr>
          <w:rFonts w:ascii="Times New Roman" w:hAnsi="宋体" w:eastAsia="黑体" w:cs="Times New Roman"/>
          <w:color w:val="auto"/>
          <w:sz w:val="36"/>
          <w:szCs w:val="20"/>
          <w:highlight w:val="none"/>
        </w:rPr>
        <w:br w:type="page" w:clear="all"/>
      </w:r>
      <w:bookmarkStart w:id="3" w:name="_Toc150765434"/>
      <w:r/>
      <w:bookmarkStart w:id="4" w:name="_Toc513622226"/>
      <w:r>
        <w:rPr>
          <w:rFonts w:hint="eastAsia" w:ascii="Times New Roman" w:hAnsi="宋体" w:eastAsia="黑体" w:cs="Times New Roman"/>
          <w:color w:val="auto"/>
          <w:sz w:val="36"/>
          <w:szCs w:val="20"/>
          <w:highlight w:val="none"/>
        </w:rPr>
        <w:t xml:space="preserve">第一章</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 xml:space="preserve">投标邀请</w:t>
      </w:r>
      <w:bookmarkEnd w:id="3"/>
      <w:r/>
      <w:bookmarkEnd w:id="4"/>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bl>
      <w:tblPr>
        <w:tblStyle w:val="73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项目概况</w:t>
            </w:r>
            <w:r/>
          </w:p>
          <w:p>
            <w:pPr>
              <w:ind w:firstLine="480"/>
              <w:spacing w:line="360" w:lineRule="auto"/>
              <w:rPr>
                <w:rFonts w:ascii="宋体" w:hAnsi="宋体" w:eastAsia="宋体" w:cs="Times New Roman"/>
                <w:color w:val="auto"/>
                <w:szCs w:val="24"/>
                <w:highlight w:val="none"/>
              </w:rPr>
            </w:pPr>
            <w:r>
              <w:rPr>
                <w:rFonts w:hint="eastAsia" w:ascii="宋体" w:hAnsi="宋体" w:eastAsia="宋体" w:cs="Times New Roman"/>
                <w:bCs/>
                <w:color w:val="auto"/>
                <w:sz w:val="24"/>
                <w:szCs w:val="24"/>
                <w:highlight w:val="none"/>
                <w:u w:val="single"/>
                <w:lang w:eastAsia="zh-CN"/>
              </w:rPr>
              <w:t xml:space="preserve">连云港市中医院电子胆道镜采购项目</w:t>
            </w:r>
            <w:r>
              <w:rPr>
                <w:rFonts w:hint="eastAsia" w:ascii="宋体" w:hAnsi="宋体" w:eastAsia="宋体" w:cs="Times New Roman"/>
                <w:color w:val="auto"/>
                <w:sz w:val="24"/>
                <w:szCs w:val="24"/>
                <w:highlight w:val="none"/>
              </w:rPr>
              <w:t xml:space="preserve">招标项目的潜在投标人应在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Times New Roman"/>
                <w:color w:val="auto"/>
                <w:sz w:val="24"/>
                <w:szCs w:val="24"/>
                <w:highlight w:val="none"/>
              </w:rPr>
              <w:t xml:space="preserve">获取招标文件，并于</w:t>
            </w:r>
            <w:r>
              <w:rPr>
                <w:rFonts w:hint="eastAsia" w:ascii="宋体" w:hAnsi="宋体" w:eastAsia="宋体" w:cs="Times New Roman"/>
                <w:bCs/>
                <w:color w:val="auto"/>
                <w:sz w:val="24"/>
                <w:szCs w:val="24"/>
                <w:highlight w:val="none"/>
                <w:u w:val="single"/>
              </w:rPr>
              <w:t xml:space="preserve">202</w:t>
            </w:r>
            <w:r>
              <w:rPr>
                <w:rFonts w:hint="eastAsia" w:ascii="宋体" w:hAnsi="宋体" w:eastAsia="宋体" w:cs="Times New Roman"/>
                <w:bCs/>
                <w:color w:val="auto"/>
                <w:sz w:val="24"/>
                <w:szCs w:val="24"/>
                <w:highlight w:val="none"/>
                <w:u w:val="single"/>
                <w:lang w:val="en-US" w:eastAsia="zh-CN"/>
              </w:rPr>
              <w:t xml:space="preserve">6</w:t>
            </w:r>
            <w:r>
              <w:rPr>
                <w:rFonts w:hint="eastAsia" w:ascii="宋体" w:hAnsi="宋体" w:eastAsia="宋体" w:cs="Times New Roman"/>
                <w:bCs/>
                <w:color w:val="auto"/>
                <w:sz w:val="24"/>
                <w:szCs w:val="24"/>
                <w:highlight w:val="none"/>
                <w:u w:val="single"/>
              </w:rPr>
              <w:t xml:space="preserve">年</w:t>
            </w:r>
            <w:r>
              <w:rPr>
                <w:rFonts w:hint="eastAsia" w:ascii="宋体" w:hAnsi="宋体" w:eastAsia="宋体" w:cs="Times New Roman"/>
                <w:bCs/>
                <w:color w:val="auto"/>
                <w:sz w:val="24"/>
                <w:szCs w:val="24"/>
                <w:highlight w:val="none"/>
                <w:u w:val="single"/>
                <w:lang w:val="en-US" w:eastAsia="zh-CN"/>
              </w:rPr>
              <w:t xml:space="preserve">02</w:t>
            </w:r>
            <w:r>
              <w:rPr>
                <w:rFonts w:hint="eastAsia" w:ascii="宋体" w:hAnsi="宋体" w:eastAsia="宋体" w:cs="Times New Roman"/>
                <w:bCs/>
                <w:color w:val="auto"/>
                <w:sz w:val="24"/>
                <w:szCs w:val="24"/>
                <w:highlight w:val="none"/>
                <w:u w:val="single"/>
              </w:rPr>
              <w:t xml:space="preserve">月</w:t>
            </w:r>
            <w:r>
              <w:rPr>
                <w:rFonts w:hint="eastAsia" w:ascii="宋体" w:hAnsi="宋体" w:eastAsia="宋体" w:cs="Times New Roman"/>
                <w:bCs/>
                <w:color w:val="auto"/>
                <w:sz w:val="24"/>
                <w:szCs w:val="24"/>
                <w:highlight w:val="none"/>
                <w:u w:val="single"/>
                <w:lang w:val="en-US" w:eastAsia="zh-CN"/>
              </w:rPr>
              <w:t xml:space="preserve">04</w:t>
            </w:r>
            <w:r>
              <w:rPr>
                <w:rFonts w:hint="eastAsia" w:ascii="宋体" w:hAnsi="宋体" w:eastAsia="宋体" w:cs="Times New Roman"/>
                <w:bCs/>
                <w:color w:val="auto"/>
                <w:sz w:val="24"/>
                <w:szCs w:val="24"/>
                <w:highlight w:val="none"/>
                <w:u w:val="single"/>
              </w:rPr>
              <w:t xml:space="preserve">日</w:t>
            </w:r>
            <w:r>
              <w:rPr>
                <w:rFonts w:hint="eastAsia" w:ascii="宋体" w:hAnsi="宋体" w:eastAsia="宋体" w:cs="Times New Roman"/>
                <w:color w:val="auto"/>
                <w:sz w:val="24"/>
                <w:szCs w:val="24"/>
                <w:highlight w:val="none"/>
                <w:u w:val="single"/>
              </w:rPr>
              <w:t xml:space="preserve">9点</w:t>
            </w:r>
            <w:r>
              <w:rPr>
                <w:rFonts w:hint="eastAsia" w:ascii="宋体" w:hAnsi="宋体" w:eastAsia="宋体" w:cs="Times New Roman"/>
                <w:bCs/>
                <w:color w:val="auto"/>
                <w:sz w:val="24"/>
                <w:szCs w:val="24"/>
                <w:highlight w:val="none"/>
                <w:u w:val="single"/>
              </w:rPr>
              <w:t xml:space="preserve">00分00秒</w:t>
            </w:r>
            <w:r>
              <w:rPr>
                <w:rFonts w:hint="eastAsia" w:ascii="宋体" w:hAnsi="宋体" w:eastAsia="宋体" w:cs="Times New Roman"/>
                <w:color w:val="auto"/>
                <w:sz w:val="24"/>
                <w:szCs w:val="24"/>
                <w:highlight w:val="none"/>
              </w:rPr>
              <w:t xml:space="preserve">（北京时间）前</w:t>
            </w:r>
            <w:r>
              <w:rPr>
                <w:rFonts w:hint="eastAsia" w:ascii="宋体" w:hAnsi="宋体" w:eastAsia="宋体" w:cs="Times New Roman"/>
                <w:b/>
                <w:color w:val="auto"/>
                <w:sz w:val="24"/>
                <w:szCs w:val="24"/>
                <w:highlight w:val="none"/>
              </w:rPr>
              <w:t xml:space="preserve">上传电子投标文件</w:t>
            </w:r>
            <w:r>
              <w:rPr>
                <w:rFonts w:hint="eastAsia" w:ascii="宋体" w:hAnsi="宋体" w:eastAsia="宋体" w:cs="Times New Roman"/>
                <w:color w:val="auto"/>
                <w:sz w:val="24"/>
                <w:szCs w:val="24"/>
                <w:highlight w:val="none"/>
              </w:rPr>
              <w:t xml:space="preserve">。</w:t>
            </w:r>
            <w:r/>
          </w:p>
        </w:tc>
      </w:tr>
    </w:tbl>
    <w:p>
      <w:pPr>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一、项目基本情况</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标段编号：JSZC-320700-RHHH-G2026-0002</w:t>
      </w:r>
      <w:r/>
    </w:p>
    <w:p>
      <w:p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标段名称：</w:t>
      </w:r>
      <w:r>
        <w:rPr>
          <w:rFonts w:hint="eastAsia" w:ascii="宋体" w:hAnsi="宋体" w:eastAsia="宋体" w:cs="Times New Roman"/>
          <w:bCs/>
          <w:color w:val="auto"/>
          <w:sz w:val="24"/>
          <w:szCs w:val="24"/>
          <w:highlight w:val="none"/>
          <w:lang w:eastAsia="zh-CN"/>
        </w:rPr>
        <w:t xml:space="preserve">连云港市中医院电子胆道镜采购项目</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预算金额：</w:t>
      </w:r>
      <w:r>
        <w:rPr>
          <w:rFonts w:hint="eastAsia" w:ascii="宋体" w:hAnsi="宋体" w:eastAsia="宋体" w:cs="Times New Roman"/>
          <w:b w:val="0"/>
          <w:bCs/>
          <w:color w:val="auto"/>
          <w:sz w:val="24"/>
          <w:szCs w:val="24"/>
          <w:highlight w:val="none"/>
          <w:lang w:val="en-US" w:eastAsia="zh-CN"/>
        </w:rPr>
        <w:t xml:space="preserve">130</w:t>
      </w:r>
      <w:r>
        <w:rPr>
          <w:rFonts w:hint="eastAsia" w:ascii="宋体" w:hAnsi="宋体" w:eastAsia="宋体" w:cs="Times New Roman"/>
          <w:b w:val="0"/>
          <w:bCs/>
          <w:color w:val="auto"/>
          <w:sz w:val="24"/>
          <w:szCs w:val="24"/>
          <w:highlight w:val="none"/>
        </w:rPr>
        <w:t xml:space="preserve">万元。</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最高限价：</w:t>
      </w:r>
      <w:r>
        <w:rPr>
          <w:rFonts w:hint="eastAsia" w:ascii="宋体" w:hAnsi="宋体" w:eastAsia="宋体" w:cs="Times New Roman"/>
          <w:color w:val="auto"/>
          <w:sz w:val="24"/>
          <w:szCs w:val="24"/>
          <w:highlight w:val="none"/>
          <w:lang w:val="en-US" w:eastAsia="zh-CN"/>
        </w:rPr>
        <w:t xml:space="preserve">130</w:t>
      </w:r>
      <w:r>
        <w:rPr>
          <w:rFonts w:hint="eastAsia" w:ascii="宋体" w:hAnsi="宋体" w:cs="Times New Roman"/>
          <w:color w:val="auto"/>
          <w:sz w:val="24"/>
          <w:szCs w:val="24"/>
          <w:highlight w:val="none"/>
        </w:rPr>
        <w:t xml:space="preserve">万元人民币，投标报价超出最高限价的按无效响应处理</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采购需求：</w:t>
      </w:r>
      <w:r>
        <w:rPr>
          <w:rFonts w:hint="eastAsia" w:ascii="宋体" w:hAnsi="宋体" w:eastAsia="宋体" w:cs="Times New Roman"/>
          <w:color w:val="auto"/>
          <w:sz w:val="24"/>
          <w:szCs w:val="24"/>
          <w:highlight w:val="none"/>
          <w:lang w:eastAsia="zh-CN"/>
        </w:rPr>
        <w:t xml:space="preserve">连云港市中医院电子胆道镜采购项目</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具体</w:t>
      </w:r>
      <w:r>
        <w:rPr>
          <w:rFonts w:hint="eastAsia" w:ascii="宋体" w:hAnsi="宋体" w:eastAsia="宋体" w:cs="Times New Roman"/>
          <w:color w:val="auto"/>
          <w:sz w:val="24"/>
          <w:szCs w:val="24"/>
          <w:highlight w:val="none"/>
        </w:rPr>
        <w:t xml:space="preserve">详见项目需求。</w:t>
      </w:r>
      <w:r/>
    </w:p>
    <w:p>
      <w:pPr>
        <w:ind w:firstLine="482"/>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对项目采购需求部分的询问、质疑请与采购人联系，由采购人负责答复。</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合同履行期限（交货期）：合同签订后</w:t>
      </w:r>
      <w:r>
        <w:rPr>
          <w:rFonts w:hint="eastAsia" w:ascii="宋体" w:hAnsi="宋体" w:eastAsia="宋体" w:cs="Times New Roman"/>
          <w:color w:val="auto"/>
          <w:sz w:val="24"/>
          <w:szCs w:val="24"/>
          <w:highlight w:val="none"/>
          <w:lang w:val="en-US" w:eastAsia="zh-CN"/>
        </w:rPr>
        <w:t xml:space="preserve">15</w:t>
      </w:r>
      <w:r>
        <w:rPr>
          <w:rFonts w:hint="eastAsia" w:ascii="宋体" w:hAnsi="宋体" w:eastAsia="宋体" w:cs="Times New Roman"/>
          <w:color w:val="auto"/>
          <w:sz w:val="24"/>
          <w:szCs w:val="24"/>
          <w:highlight w:val="none"/>
        </w:rPr>
        <w:t xml:space="preserve">天内完成供货、安装、调试，直至交付采购人验收合格使用。</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本项目（是/否√）接受联合体投标。</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二、申请人的资格要求</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1.满足《中华人民共和国政府采购法》第二十二条规定，提供下列材料：</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（1）法人或者其他组织的营业执照等证明文件，自然人的身份证明；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上一年度的财务状况报告或银行出具的资信证明,成立不满一个年度的不需提供。（按连财购〔2023〕4号文件要求，符合要求的可提交《财务状况报告及税收、社会保障资金缴纳情况承诺函》，格式详见招标文件）； </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（3）依法缴纳税收和社会保障资金的相关证明材料（按连财购〔2023〕4号文件要求，符合要求的可提交《财务状况报告及税收、社会保障资金缴纳情况承诺函》，格式详见招标文件）；</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（4）具备履行合同所必需的设备和专业技术能力的声明及证明材料；</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（5）参加政府采购活动前三年内在经营活动中没有重大违法记录的书面声明。</w:t>
      </w:r>
      <w:r/>
    </w:p>
    <w:p>
      <w:pPr>
        <w:ind w:right="0" w:firstLine="480"/>
        <w:jc w:val="both"/>
        <w:keepLines w:val="0"/>
        <w:keepNext w:val="0"/>
        <w:pageBreakBefore w:val="0"/>
        <w:spacing w:line="500" w:lineRule="exact"/>
        <w:widowControl w:val="off"/>
        <w:rPr>
          <w:rFonts w:ascii="宋体" w:hAnsi="宋体" w:eastAsia="宋体" w:cs="Times New Roman"/>
          <w:b/>
          <w:color w:val="auto"/>
          <w:sz w:val="24"/>
          <w:szCs w:val="24"/>
          <w:highlight w:val="none"/>
        </w:rPr>
        <w:outlineLvl w:val="9"/>
      </w:pPr>
      <w:r>
        <w:rPr>
          <w:rFonts w:hint="eastAsia" w:ascii="宋体" w:hAnsi="宋体" w:eastAsia="宋体" w:cs="Times New Roman"/>
          <w:b/>
          <w:color w:val="auto"/>
          <w:sz w:val="24"/>
          <w:szCs w:val="24"/>
          <w:highlight w:val="none"/>
        </w:rPr>
        <w:t xml:space="preserve">2.落实政府采购政策需满足的资格要求：</w:t>
      </w:r>
      <w:r>
        <w:rPr>
          <w:rFonts w:hint="eastAsia" w:ascii="宋体" w:hAnsi="宋体" w:eastAsia="宋体" w:cs="宋体"/>
          <w:sz w:val="24"/>
          <w:szCs w:val="24"/>
          <w:highlight w:val="none"/>
          <w:lang w:val="en-US" w:eastAsia="zh-CN"/>
        </w:rPr>
        <w:t xml:space="preserve">根据财政部、工业和信息化部关于印发《政府采购促进中心企业发展管理办法》的通知（财库〔2020〕46号）等相关文件要求，</w:t>
      </w:r>
      <w:r>
        <w:rPr>
          <w:rFonts w:hint="eastAsia" w:ascii="宋体" w:hAnsi="宋体" w:eastAsia="宋体" w:cs="宋体"/>
          <w:b/>
          <w:bCs/>
          <w:sz w:val="24"/>
          <w:szCs w:val="24"/>
          <w:highlight w:val="none"/>
          <w:lang w:val="en-US" w:eastAsia="zh-CN"/>
        </w:rPr>
        <w:t xml:space="preserve">本项目专门面向中型企业、小型企业、微型企业、残疾人福利性单位、监狱企业进行采购。</w:t>
      </w:r>
      <w:r>
        <w:rPr>
          <w:rFonts w:hint="eastAsia" w:ascii="宋体" w:hAnsi="宋体" w:eastAsia="宋体" w:cs="宋体"/>
          <w:sz w:val="24"/>
          <w:szCs w:val="24"/>
          <w:highlight w:val="none"/>
          <w:lang w:val="en-US" w:eastAsia="zh-CN"/>
        </w:rPr>
        <w:t xml:space="preserve">（符合要求的供应商须提供《中小企业声明函》或《残疾人福利性单位声明函》或属于监狱企业的证明文件，否则投标无效）</w:t>
      </w:r>
      <w:r>
        <w:rPr>
          <w:rFonts w:hint="eastAsia" w:ascii="宋体" w:hAnsi="宋体" w:eastAsia="宋体" w:cs="宋体"/>
          <w:color w:val="000000"/>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b/>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需满足以下两项中任意一项：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供应商为所投产品制造商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提供具有有效期内的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医疗器械生产许可证》</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宋体"/>
          <w:color w:val="auto"/>
          <w:sz w:val="24"/>
          <w:szCs w:val="24"/>
          <w:highlight w:val="none"/>
          <w:lang w:val="en-US" w:eastAsia="zh-CN"/>
        </w:rPr>
        <w:t xml:space="preserve">②供应商为所投产品经销商，提供具有有效期内的《医疗器械经营备案凭证》或《医疗器械经营许可证》；</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4.本项目的其他资格要求：</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备注：采购人或采购代理机构通过信用中国网站（www.creditchina.gov.cn）、中国政府采购网（www.ccgp.gov.cn），对供应商信用记录情况进行查询。</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（2）本项目</w:t>
      </w:r>
      <w:r>
        <w:rPr>
          <w:rFonts w:hint="eastAsia" w:ascii="宋体" w:hAnsi="宋体" w:eastAsia="宋体" w:cs="Times New Roman"/>
          <w:b/>
          <w:bCs/>
          <w:color w:val="auto"/>
          <w:sz w:val="24"/>
          <w:szCs w:val="24"/>
          <w:highlight w:val="none"/>
          <w:lang w:eastAsia="zh-CN"/>
        </w:rPr>
        <w:t xml:space="preserve">不</w:t>
      </w:r>
      <w:r>
        <w:rPr>
          <w:rFonts w:hint="eastAsia" w:ascii="宋体" w:hAnsi="宋体" w:eastAsia="宋体" w:cs="Times New Roman"/>
          <w:b/>
          <w:color w:val="auto"/>
          <w:sz w:val="24"/>
          <w:szCs w:val="24"/>
          <w:highlight w:val="none"/>
        </w:rPr>
        <w:t xml:space="preserve">接受进口产品</w:t>
      </w:r>
      <w:r>
        <w:rPr>
          <w:rFonts w:hint="eastAsia" w:ascii="宋体" w:hAnsi="宋体" w:eastAsia="宋体" w:cs="Times New Roman"/>
          <w:color w:val="auto"/>
          <w:sz w:val="24"/>
          <w:szCs w:val="24"/>
          <w:highlight w:val="none"/>
        </w:rPr>
        <w:t xml:space="preserve">（进口产品是指通过中国海关报关验放进入中国境内且产自关境外的产品），中标后不允许分包或转包。</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5.法律法规规定的其他条件。</w:t>
      </w:r>
      <w:r/>
    </w:p>
    <w:p>
      <w:pPr>
        <w:keepLines w:val="0"/>
        <w:keepNext/>
        <w:pageBreakBefore w:val="0"/>
        <w:spacing w:line="360" w:lineRule="auto"/>
        <w:widowControl w:val="off"/>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三、获取招标文件</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1．时间：</w:t>
      </w:r>
      <w:r>
        <w:rPr>
          <w:rFonts w:hint="eastAsia" w:ascii="宋体" w:hAnsi="宋体" w:eastAsia="宋体" w:cs="Times New Roman"/>
          <w:color w:val="auto"/>
          <w:sz w:val="24"/>
          <w:szCs w:val="24"/>
          <w:highlight w:val="none"/>
          <w:lang w:eastAsia="zh-CN"/>
        </w:rPr>
        <w:t xml:space="preserve">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年</w:t>
      </w:r>
      <w:r>
        <w:rPr>
          <w:rFonts w:hint="eastAsia" w:ascii="宋体" w:hAnsi="宋体" w:eastAsia="宋体" w:cs="Times New Roman"/>
          <w:color w:val="auto"/>
          <w:sz w:val="24"/>
          <w:szCs w:val="24"/>
          <w:highlight w:val="none"/>
          <w:lang w:val="en-US" w:eastAsia="zh-CN"/>
        </w:rPr>
        <w:t xml:space="preserve">01</w:t>
      </w:r>
      <w:r>
        <w:rPr>
          <w:rFonts w:hint="eastAsia" w:ascii="宋体" w:hAnsi="宋体" w:eastAsia="宋体" w:cs="Times New Roman"/>
          <w:color w:val="auto"/>
          <w:sz w:val="24"/>
          <w:szCs w:val="24"/>
          <w:highlight w:val="none"/>
          <w:lang w:eastAsia="zh-CN"/>
        </w:rPr>
        <w:t xml:space="preserve">月</w:t>
      </w:r>
      <w:r>
        <w:rPr>
          <w:rFonts w:hint="eastAsia" w:ascii="宋体" w:hAnsi="宋体" w:eastAsia="宋体" w:cs="Times New Roman"/>
          <w:color w:val="auto"/>
          <w:sz w:val="24"/>
          <w:szCs w:val="24"/>
          <w:highlight w:val="none"/>
          <w:lang w:val="en-US" w:eastAsia="zh-CN"/>
        </w:rPr>
        <w:t xml:space="preserve">14</w:t>
      </w:r>
      <w:r>
        <w:rPr>
          <w:rFonts w:hint="eastAsia" w:ascii="宋体" w:hAnsi="宋体" w:eastAsia="宋体" w:cs="Times New Roman"/>
          <w:color w:val="auto"/>
          <w:sz w:val="24"/>
          <w:szCs w:val="24"/>
          <w:highlight w:val="none"/>
        </w:rPr>
        <w:t xml:space="preserve">日至</w:t>
      </w:r>
      <w:r>
        <w:rPr>
          <w:rFonts w:hint="eastAsia" w:ascii="宋体" w:hAnsi="宋体" w:eastAsia="宋体" w:cs="Times New Roman"/>
          <w:color w:val="auto"/>
          <w:sz w:val="24"/>
          <w:szCs w:val="24"/>
          <w:highlight w:val="none"/>
          <w:lang w:eastAsia="zh-CN"/>
        </w:rPr>
        <w:t xml:space="preserve">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年</w:t>
      </w:r>
      <w:r>
        <w:rPr>
          <w:rFonts w:hint="eastAsia" w:ascii="宋体" w:hAnsi="宋体" w:eastAsia="宋体" w:cs="Times New Roman"/>
          <w:color w:val="auto"/>
          <w:sz w:val="24"/>
          <w:szCs w:val="24"/>
          <w:highlight w:val="none"/>
          <w:lang w:val="en-US" w:eastAsia="zh-CN"/>
        </w:rPr>
        <w:t xml:space="preserve">01</w:t>
      </w:r>
      <w:r>
        <w:rPr>
          <w:rFonts w:hint="eastAsia" w:ascii="宋体" w:hAnsi="宋体" w:eastAsia="宋体" w:cs="Times New Roman"/>
          <w:color w:val="auto"/>
          <w:sz w:val="24"/>
          <w:szCs w:val="24"/>
          <w:highlight w:val="none"/>
          <w:lang w:eastAsia="zh-CN"/>
        </w:rPr>
        <w:t xml:space="preserve">月</w:t>
      </w:r>
      <w:r>
        <w:rPr>
          <w:rFonts w:hint="eastAsia" w:ascii="宋体" w:hAnsi="宋体" w:eastAsia="宋体" w:cs="Times New Roman"/>
          <w:color w:val="auto"/>
          <w:sz w:val="24"/>
          <w:szCs w:val="24"/>
          <w:highlight w:val="none"/>
          <w:lang w:val="en-US" w:eastAsia="zh-CN"/>
        </w:rPr>
        <w:t xml:space="preserve">22</w:t>
      </w:r>
      <w:r>
        <w:rPr>
          <w:rFonts w:hint="eastAsia" w:ascii="宋体" w:hAnsi="宋体" w:eastAsia="宋体" w:cs="Times New Roman"/>
          <w:color w:val="auto"/>
          <w:sz w:val="24"/>
          <w:szCs w:val="24"/>
          <w:highlight w:val="none"/>
        </w:rPr>
        <w:t xml:space="preserve">日</w:t>
      </w:r>
      <w:r>
        <w:rPr>
          <w:rFonts w:hint="eastAsia" w:ascii="宋体" w:hAnsi="宋体"/>
          <w:color w:val="auto"/>
          <w:sz w:val="24"/>
          <w:highlight w:val="none"/>
        </w:rPr>
        <w:t xml:space="preserve">23:59止（北京时间）</w:t>
      </w:r>
      <w:r>
        <w:rPr>
          <w:rFonts w:hint="eastAsia" w:ascii="宋体" w:hAnsi="宋体" w:eastAsia="宋体" w:cs="Times New Roman"/>
          <w:color w:val="auto"/>
          <w:sz w:val="24"/>
          <w:szCs w:val="24"/>
          <w:highlight w:val="none"/>
        </w:rPr>
        <w:t xml:space="preserve">。</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2．获取方式：本项目采用网上注册登记方式。</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2.1潜在投标人访问电子招标投标交易平台的网络地址和方法：</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（2）潜在供应商访问“苏采云”系统的网络地址和方法：</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“苏采云”系统的网址：http://jszfcg.jsczt.cn/。</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（3）“CA数字证书”的获取：</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供应商需办理CA锁，“苏采云”系统目前仅支持“苏采云”系统下的政务CA，省内各地区办理的“苏采云”系统下的政务CA全省通用。“CA数字证书”的办理材料详见“</w:t>
      </w:r>
      <w:r>
        <w:rPr>
          <w:rFonts w:ascii="宋体" w:hAnsi="宋体" w:eastAsia="宋体" w:cs="Times New Roman"/>
          <w:color w:val="auto"/>
          <w:sz w:val="24"/>
          <w:szCs w:val="24"/>
          <w:highlight w:val="none"/>
        </w:rPr>
        <w:t xml:space="preserve">http://jsxcmm.com/help/gys.html”</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（5）招标代理机构（采购代理机构）将数据电文形式的采购文件加载至“苏采云”系统，供潜在供应商下载或者查阅。</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3.地点：网上注册登记成功后系统内免费下载。</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4.售价：免费</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四、提交投标文件截止时间、开标时间和地点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1.投标文件接收时间</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投标文件接收截止时间：202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02</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04</w:t>
      </w:r>
      <w:r>
        <w:rPr>
          <w:rFonts w:hint="eastAsia" w:ascii="宋体" w:hAnsi="宋体" w:eastAsia="宋体" w:cs="Times New Roman"/>
          <w:color w:val="auto"/>
          <w:sz w:val="24"/>
          <w:szCs w:val="24"/>
          <w:highlight w:val="none"/>
        </w:rPr>
        <w:t xml:space="preserve">日9:00:00（北京时间）</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2.开标时间与地点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开标时间：202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02</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04</w:t>
      </w:r>
      <w:r>
        <w:rPr>
          <w:rFonts w:hint="eastAsia" w:ascii="宋体" w:hAnsi="宋体" w:eastAsia="宋体" w:cs="Times New Roman"/>
          <w:color w:val="auto"/>
          <w:sz w:val="24"/>
          <w:szCs w:val="24"/>
          <w:highlight w:val="none"/>
        </w:rPr>
        <w:t xml:space="preserve">日9:00:00（北京时间）</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开标地点：“苏采云”系统 “开标大厅”</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开标大厅网址：</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http://jszfcg.jsczt.cn/</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五、公告期限</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自本公告发布之日起5个工作日。</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六、其他补充事宜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本次公开招标不收取投标保证金。</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2.本招标文件中标注★的款项为实质性响应要求和条件，必须</w:t>
      </w:r>
      <w:r>
        <w:rPr>
          <w:rFonts w:hint="eastAsia" w:ascii="宋体" w:hAnsi="宋体" w:eastAsia="宋体" w:cs="Times New Roman"/>
          <w:b/>
          <w:color w:val="auto"/>
          <w:sz w:val="24"/>
          <w:szCs w:val="24"/>
          <w:highlight w:val="none"/>
        </w:rPr>
        <w:t xml:space="preserve">逐条</w:t>
      </w:r>
      <w:r>
        <w:rPr>
          <w:rFonts w:hint="eastAsia" w:ascii="宋体" w:hAnsi="宋体" w:eastAsia="宋体" w:cs="Times New Roman"/>
          <w:color w:val="auto"/>
          <w:sz w:val="24"/>
          <w:szCs w:val="24"/>
          <w:highlight w:val="none"/>
        </w:rPr>
        <w:t xml:space="preserve">做出满足要求和条件的响应，否则将按无效响应处理。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七、对本次招标提出询问，请按以下方式联系。</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名称：连云港市中医院</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sz w:val="24"/>
        </w:rPr>
        <w:t xml:space="preserve">连云港市海州区朝阳路160号</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联系人：何老师</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联系方式：0518-85572557</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名称：江苏仁禾中衡工程咨询房地产估价有限公司</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sz w:val="24"/>
          <w:szCs w:val="24"/>
          <w:highlight w:val="none"/>
        </w:rPr>
        <w:t xml:space="preserve">连云港市海州区解放东路138号</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sz w:val="24"/>
          <w:szCs w:val="24"/>
          <w:highlight w:val="none"/>
        </w:rPr>
        <w:t xml:space="preserve">许工</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联系方式：0518-85833367  </w:t>
      </w:r>
      <w:r>
        <w:rPr>
          <w:rFonts w:hint="eastAsia" w:ascii="宋体" w:hAnsi="宋体" w:cs="宋体"/>
          <w:sz w:val="24"/>
          <w:szCs w:val="24"/>
          <w:highlight w:val="none"/>
        </w:rPr>
        <w:t xml:space="preserve">13851238815</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项目联系人：许工</w:t>
      </w:r>
      <w:r/>
    </w:p>
    <w:p>
      <w:pPr>
        <w:ind w:firstLine="480"/>
        <w:keepNext/>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电话：0518-85833367</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八、电子招投标说明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2.投标人应当通过“苏采云”系统提交数据电文形式的投标文件（即电子投标）。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特别说明：通过“苏采云”系统提交政府采购客户端工具导出加密的投标文件（后缀名为zip）。投标文件不得超过150M！</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3.电子投标文件应由其法定代表人或法定代表人授权代表在规定的网上投标时间内，凭 CA 证书</w:t>
      </w:r>
      <w:r>
        <w:rPr>
          <w:rFonts w:hint="eastAsia" w:ascii="宋体" w:hAnsi="宋体" w:eastAsia="宋体" w:cs="Times New Roman"/>
          <w:color w:val="auto"/>
          <w:sz w:val="24"/>
          <w:szCs w:val="24"/>
          <w:highlight w:val="none"/>
          <w:lang w:eastAsia="zh-CN"/>
        </w:rPr>
        <w:t xml:space="preserve">登录</w:t>
      </w:r>
      <w:r>
        <w:rPr>
          <w:rFonts w:hint="eastAsia" w:ascii="宋体" w:hAnsi="宋体" w:eastAsia="宋体" w:cs="Times New Roman"/>
          <w:color w:val="auto"/>
          <w:sz w:val="24"/>
          <w:szCs w:val="24"/>
          <w:highlight w:val="none"/>
        </w:rPr>
        <w:t xml:space="preserve">“苏采云”系统在线编制投标文件（电子数据），并在投标截止时间之前上传投标文件。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投标人应在达到开标时间后，使用CA数字证书解密各自投标文件。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所有投标人解密（或解密时间）结束后，“苏采云”系统生成开标记录并向社会公众公布，但依法应当保密的除外。</w:t>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江苏仁禾中衡工程咨询房地产估价有限公司</w:t>
      </w:r>
      <w:r/>
    </w:p>
    <w:p>
      <w:pPr>
        <w:jc w:val="center"/>
        <w:keepLines/>
        <w:keepNext/>
        <w:spacing w:line="360" w:lineRule="auto"/>
        <w:rPr>
          <w:rFonts w:ascii="Times New Roman" w:hAnsi="Times New Roman" w:eastAsia="黑体" w:cs="Times New Roman"/>
          <w:b/>
          <w:color w:val="auto"/>
          <w:sz w:val="36"/>
          <w:szCs w:val="36"/>
          <w:highlight w:val="none"/>
        </w:rPr>
        <w:outlineLvl w:val="0"/>
      </w:pP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年</w:t>
      </w:r>
      <w:r>
        <w:rPr>
          <w:rFonts w:hint="eastAsia" w:ascii="宋体" w:hAnsi="宋体" w:eastAsia="宋体" w:cs="Times New Roman"/>
          <w:color w:val="auto"/>
          <w:sz w:val="24"/>
          <w:szCs w:val="24"/>
          <w:highlight w:val="none"/>
          <w:lang w:val="en-US" w:eastAsia="zh-CN"/>
        </w:rPr>
        <w:t xml:space="preserve">01</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14</w:t>
      </w:r>
      <w:bookmarkStart w:id="24" w:name="_GoBack"/>
      <w:r/>
      <w:bookmarkEnd w:id="24"/>
      <w:r>
        <w:rPr>
          <w:rFonts w:hint="eastAsia" w:ascii="宋体" w:hAnsi="宋体" w:eastAsia="宋体" w:cs="Times New Roman"/>
          <w:color w:val="auto"/>
          <w:sz w:val="24"/>
          <w:szCs w:val="24"/>
          <w:highlight w:val="none"/>
        </w:rPr>
        <w:t xml:space="preserve">日</w:t>
      </w:r>
      <w:r>
        <w:rPr>
          <w:rFonts w:ascii="Times New Roman" w:hAnsi="Times New Roman" w:eastAsia="黑体" w:cs="Times New Roman"/>
          <w:b/>
          <w:color w:val="auto"/>
          <w:sz w:val="36"/>
          <w:szCs w:val="20"/>
          <w:highlight w:val="none"/>
        </w:rPr>
        <w:br w:type="page" w:clear="all"/>
      </w:r>
      <w:bookmarkStart w:id="5" w:name="_Toc150765435"/>
      <w:r/>
      <w:bookmarkStart w:id="6" w:name="_Toc513622227"/>
      <w:r>
        <w:rPr>
          <w:rFonts w:hint="eastAsia" w:ascii="Times New Roman" w:hAnsi="宋体" w:eastAsia="黑体" w:cs="Times New Roman"/>
          <w:color w:val="auto"/>
          <w:sz w:val="36"/>
          <w:szCs w:val="20"/>
          <w:highlight w:val="none"/>
        </w:rPr>
        <w:t xml:space="preserve">第二章投标人须知</w:t>
      </w:r>
      <w:bookmarkEnd w:id="1"/>
      <w:r/>
      <w:bookmarkEnd w:id="2"/>
      <w:r/>
      <w:bookmarkEnd w:id="5"/>
      <w:r/>
      <w:bookmarkEnd w:id="6"/>
      <w:r/>
      <w:r/>
    </w:p>
    <w:p>
      <w:pPr>
        <w:pStyle w:val="727"/>
        <w:numPr>
          <w:ilvl w:val="0"/>
          <w:numId w:val="0"/>
        </w:numPr>
        <w:rPr>
          <w:b w:val="0"/>
          <w:color w:val="auto"/>
          <w:highlight w:val="none"/>
        </w:rPr>
      </w:pPr>
      <w:r>
        <w:rPr>
          <w:rFonts w:hint="eastAsia"/>
          <w:color w:val="auto"/>
          <w:highlight w:val="none"/>
        </w:rPr>
        <w:t xml:space="preserve">一、总则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采购人、项目（标段）名称及编号，详见第一章“投标邀请”。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采购预算</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本项目的采购预算，详见第一章“投标邀请”。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 资金来源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 “投标邀请”中所述的采购人已获得一笔政府采购资金，用于采购第六章“项目需求”所列内容。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 采购方式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 本项目采用公开招标采购方式，招标、投标、开标、评标和中标结果发布全程电子化。</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 合格的投标人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5.1 投标人应符合第一章“投标邀请”中规定的条件，</w:t>
      </w:r>
      <w:r>
        <w:rPr>
          <w:rFonts w:hint="eastAsia" w:ascii="宋体" w:hAnsi="宋体" w:eastAsia="宋体" w:cs="Times New Roman"/>
          <w:b/>
          <w:bCs/>
          <w:color w:val="auto"/>
          <w:sz w:val="24"/>
          <w:szCs w:val="24"/>
          <w:highlight w:val="none"/>
        </w:rPr>
        <w:t xml:space="preserve">否则投标无效</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5.2 投标人不得直接或间接地与为本次采购的标的进行设计、编制规范和其他文件的咨询公司、采购（代理）机构或其附属机构有任何关联。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5.4 符合上述条件的投标人应承担投标及履约过程应承担的全部责任与义务。</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 投标费用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 不论投标结果如何，投标人均应自行承担所有与编写和提交投标文件有关的全部费用。</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6.2本次采购代理费按“计价格〔2002〕1980号文”规定收费标准的59.6%计取，投标人在报价时应综合考虑以上相关费用，但不得单列。相关费用必须在中标公示后中标通知书发出前由中标人一次性付清。</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w:t>
      </w:r>
      <w:r>
        <w:rPr>
          <w:rFonts w:ascii="宋体" w:hAnsi="宋体" w:eastAsia="宋体" w:cs="Times New Roman"/>
          <w:color w:val="auto"/>
          <w:sz w:val="24"/>
          <w:szCs w:val="24"/>
          <w:highlight w:val="none"/>
        </w:rPr>
        <w:t xml:space="preserve"> 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 </w:t>
      </w:r>
      <w:r>
        <w:rPr>
          <w:rFonts w:ascii="宋体" w:hAnsi="宋体" w:eastAsia="宋体" w:cs="Times New Roman"/>
          <w:color w:val="auto"/>
          <w:sz w:val="24"/>
          <w:szCs w:val="24"/>
          <w:highlight w:val="none"/>
        </w:rPr>
        <w:t xml:space="preserve">质疑的提出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7.1.1 提出质疑的供应商应当是参与所质疑项目采购活动的供应商。</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Times New Roman"/>
          <w:color w:val="auto"/>
          <w:sz w:val="24"/>
          <w:szCs w:val="24"/>
          <w:highlight w:val="none"/>
          <w:lang w:eastAsia="zh-CN"/>
        </w:rPr>
        <w:t xml:space="preserve">江苏仁禾中衡工程咨询房地产估价有限公司</w:t>
      </w:r>
      <w:r>
        <w:rPr>
          <w:rFonts w:hint="eastAsia" w:ascii="宋体" w:hAnsi="宋体" w:eastAsia="宋体" w:cs="Times New Roman"/>
          <w:color w:val="auto"/>
          <w:sz w:val="24"/>
          <w:szCs w:val="24"/>
          <w:highlight w:val="none"/>
        </w:rPr>
        <w:t xml:space="preserve">（以下简称采购代理机构）提出质疑。供应商应当在法定质疑期内一次性提出针对同一采购程序环节的质疑。</w:t>
      </w:r>
      <w:r>
        <w:rPr>
          <w:rFonts w:hint="eastAsia" w:ascii="宋体" w:hAnsi="宋体" w:eastAsia="宋体" w:cs="Times New Roman"/>
          <w:b/>
          <w:bCs/>
          <w:color w:val="auto"/>
          <w:sz w:val="24"/>
          <w:szCs w:val="24"/>
          <w:highlight w:val="none"/>
        </w:rPr>
        <w:t xml:space="preserve">未依照采购公告要求获取招标文件的供应商，视为未参与该项目的采购活动，不具备对该招标文件提出质疑的法定权利。</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7.1.3 </w:t>
      </w:r>
      <w:r>
        <w:rPr>
          <w:rFonts w:ascii="宋体" w:hAnsi="宋体" w:eastAsia="宋体" w:cs="Times New Roman"/>
          <w:color w:val="auto"/>
          <w:sz w:val="24"/>
          <w:szCs w:val="24"/>
          <w:highlight w:val="none"/>
        </w:rPr>
        <w:t xml:space="preserve">提出质疑时，必须坚持“谁主张，谁举证”“实事求是”的原则，不能臆测。属于须由法定部门调查、侦查或先行作出相关认定的事项，质疑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应当依法申请具有法定职权的部门查清、认定，并将相关结果提供给</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不具有法定调查、认定权限。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7.1.4 </w:t>
      </w:r>
      <w:r>
        <w:rPr>
          <w:rFonts w:hint="eastAsia" w:ascii="宋体" w:hAnsi="宋体" w:eastAsia="宋体" w:cs="Times New Roman"/>
          <w:b/>
          <w:color w:val="auto"/>
          <w:sz w:val="24"/>
          <w:szCs w:val="24"/>
          <w:highlight w:val="none"/>
        </w:rPr>
        <w:t xml:space="preserve">质疑函的接收方式为供应商书面原件提交</w:t>
      </w:r>
      <w:r>
        <w:rPr>
          <w:rFonts w:hint="eastAsia" w:ascii="宋体" w:hAnsi="宋体" w:eastAsia="宋体" w:cs="Times New Roman"/>
          <w:color w:val="auto"/>
          <w:sz w:val="24"/>
          <w:szCs w:val="24"/>
          <w:highlight w:val="none"/>
        </w:rPr>
        <w:t xml:space="preserve">。联系部门、联系电话和通讯地址详见第一章“投标邀请”。</w:t>
      </w:r>
      <w:r>
        <w:rPr>
          <w:rFonts w:ascii="宋体" w:hAnsi="宋体" w:eastAsia="宋体" w:cs="Times New Roman"/>
          <w:color w:val="auto"/>
          <w:sz w:val="24"/>
          <w:szCs w:val="24"/>
          <w:highlight w:val="none"/>
        </w:rPr>
        <w:t xml:space="preserve">质疑实行实名制，不得进行虚假、恶意质疑。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7.1.5 质疑函应当使用范本（详见连云港市政府采购交易平台-监管信息-意见反馈）。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供应商提出质疑</w:t>
      </w:r>
      <w:r>
        <w:rPr>
          <w:rFonts w:hint="eastAsia" w:ascii="宋体" w:hAnsi="宋体" w:eastAsia="宋体" w:cs="Times New Roman"/>
          <w:b/>
          <w:color w:val="auto"/>
          <w:sz w:val="24"/>
          <w:szCs w:val="24"/>
          <w:highlight w:val="none"/>
        </w:rPr>
        <w:t xml:space="preserve">应当提交质疑函和必要的证明材料</w:t>
      </w:r>
      <w:r>
        <w:rPr>
          <w:rFonts w:hint="eastAsia" w:ascii="宋体" w:hAnsi="宋体" w:eastAsia="宋体" w:cs="Times New Roman"/>
          <w:color w:val="auto"/>
          <w:sz w:val="24"/>
          <w:szCs w:val="24"/>
          <w:highlight w:val="none"/>
        </w:rPr>
        <w:t xml:space="preserve">，应当包括下列内容：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供应商的姓名或者名称、地址、邮编、联系人及联系电话；</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质疑项目的名称、编号；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具体、明确的质疑事项和与质疑事项相关的请求；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事实依据；</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必要的法律依据；</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提出质疑的日期；</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（7</w:t>
      </w:r>
      <w:r>
        <w:rPr>
          <w:rFonts w:ascii="宋体" w:hAnsi="宋体" w:eastAsia="宋体" w:cs="Times New Roman"/>
          <w:color w:val="auto"/>
          <w:sz w:val="24"/>
          <w:szCs w:val="24"/>
          <w:highlight w:val="none"/>
        </w:rPr>
        <w:t xml:space="preserve">）</w:t>
      </w:r>
      <w:r>
        <w:rPr>
          <w:rFonts w:hint="eastAsia" w:ascii="宋体" w:hAnsi="宋体" w:eastAsia="宋体" w:cs="Times New Roman"/>
          <w:b/>
          <w:color w:val="auto"/>
          <w:sz w:val="24"/>
          <w:szCs w:val="24"/>
          <w:highlight w:val="none"/>
        </w:rPr>
        <w:t xml:space="preserve">必要的证明材料；</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（8）招标文件(交易文件)下载回执函；</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营业执照复印件及法定代表人授权委托书、法定代表人身份证复印件、委托代理人身份证复印件。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 </w:t>
      </w:r>
      <w:r>
        <w:rPr>
          <w:rFonts w:ascii="宋体" w:hAnsi="宋体" w:eastAsia="宋体" w:cs="Times New Roman"/>
          <w:color w:val="auto"/>
          <w:sz w:val="24"/>
          <w:szCs w:val="24"/>
          <w:highlight w:val="none"/>
        </w:rPr>
        <w:t xml:space="preserve">质疑函的受理和答复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7.2.1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应</w:t>
      </w:r>
      <w:r>
        <w:rPr>
          <w:rFonts w:hint="eastAsia" w:ascii="宋体" w:hAnsi="宋体" w:eastAsia="宋体" w:cs="Times New Roman"/>
          <w:color w:val="auto"/>
          <w:sz w:val="24"/>
          <w:szCs w:val="24"/>
          <w:highlight w:val="none"/>
        </w:rPr>
        <w:t xml:space="preserve">当</w:t>
      </w:r>
      <w:r>
        <w:rPr>
          <w:rFonts w:ascii="宋体" w:hAnsi="宋体" w:eastAsia="宋体" w:cs="Times New Roman"/>
          <w:color w:val="auto"/>
          <w:sz w:val="24"/>
          <w:szCs w:val="24"/>
          <w:highlight w:val="none"/>
        </w:rPr>
        <w:t xml:space="preserve">保证其提出的质疑事项及必要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证明材料的真实性及来源的合法性，并承担相应的法律责任。</w:t>
      </w:r>
      <w:r>
        <w:rPr>
          <w:rFonts w:ascii="宋体" w:hAnsi="宋体" w:eastAsia="宋体" w:cs="Times New Roman"/>
          <w:b/>
          <w:color w:val="auto"/>
          <w:sz w:val="24"/>
          <w:szCs w:val="24"/>
          <w:highlight w:val="none"/>
        </w:rPr>
        <w:t xml:space="preserve">对不能提供必要</w:t>
      </w:r>
      <w:r>
        <w:rPr>
          <w:rFonts w:hint="eastAsia" w:ascii="宋体" w:hAnsi="宋体" w:eastAsia="宋体" w:cs="Times New Roman"/>
          <w:b/>
          <w:color w:val="auto"/>
          <w:sz w:val="24"/>
          <w:szCs w:val="24"/>
          <w:highlight w:val="none"/>
        </w:rPr>
        <w:t xml:space="preserve">的</w:t>
      </w:r>
      <w:r>
        <w:rPr>
          <w:rFonts w:ascii="宋体" w:hAnsi="宋体" w:eastAsia="宋体" w:cs="Times New Roman"/>
          <w:b/>
          <w:color w:val="auto"/>
          <w:sz w:val="24"/>
          <w:szCs w:val="24"/>
          <w:highlight w:val="none"/>
        </w:rPr>
        <w:t xml:space="preserve">证明材料的、涉及商业秘密的、非书面原件形式的、匿名的质疑函将不予受理</w:t>
      </w:r>
      <w:r>
        <w:rPr>
          <w:rFonts w:ascii="宋体" w:hAnsi="宋体" w:eastAsia="宋体" w:cs="Times New Roman"/>
          <w:color w:val="auto"/>
          <w:sz w:val="24"/>
          <w:szCs w:val="24"/>
          <w:highlight w:val="none"/>
        </w:rPr>
        <w:t xml:space="preserve">。必要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证明材料要具备客观性、关联性、合法性，无法查实的</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如宣传册、媒体报道、猜测、推理等</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不能作为证明材料。</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不负责搜集必要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证明材料等工作。</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7.2.2 </w:t>
      </w:r>
      <w:r>
        <w:rPr>
          <w:rFonts w:ascii="宋体" w:hAnsi="宋体" w:eastAsia="宋体" w:cs="Times New Roman"/>
          <w:color w:val="auto"/>
          <w:sz w:val="24"/>
          <w:szCs w:val="24"/>
          <w:highlight w:val="none"/>
        </w:rPr>
        <w:t xml:space="preserve">对符合质疑要求的，</w:t>
      </w:r>
      <w:r>
        <w:rPr>
          <w:rFonts w:hint="eastAsia" w:ascii="宋体" w:hAnsi="宋体" w:eastAsia="宋体" w:cs="Times New Roman"/>
          <w:color w:val="auto"/>
          <w:sz w:val="24"/>
          <w:szCs w:val="24"/>
          <w:highlight w:val="none"/>
        </w:rPr>
        <w:t xml:space="preserve">采购人、采购代理机构接收</w:t>
      </w:r>
      <w:r>
        <w:rPr>
          <w:rFonts w:ascii="宋体" w:hAnsi="宋体" w:eastAsia="宋体" w:cs="Times New Roman"/>
          <w:color w:val="auto"/>
          <w:sz w:val="24"/>
          <w:szCs w:val="24"/>
          <w:highlight w:val="none"/>
        </w:rPr>
        <w:t xml:space="preserve">并登记。在处理过程中，发现需要质疑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进一步补充必要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证明材料的，质疑</w:t>
      </w:r>
      <w:r>
        <w:rPr>
          <w:rFonts w:hint="eastAsia" w:ascii="宋体" w:hAnsi="宋体" w:eastAsia="宋体" w:cs="Times New Roman"/>
          <w:color w:val="auto"/>
          <w:sz w:val="24"/>
          <w:szCs w:val="24"/>
          <w:highlight w:val="none"/>
        </w:rPr>
        <w:t xml:space="preserve">供应商应</w:t>
      </w:r>
      <w:r>
        <w:rPr>
          <w:rFonts w:ascii="宋体" w:hAnsi="宋体" w:eastAsia="宋体" w:cs="Times New Roman"/>
          <w:color w:val="auto"/>
          <w:sz w:val="24"/>
          <w:szCs w:val="24"/>
          <w:highlight w:val="none"/>
        </w:rPr>
        <w:t xml:space="preserve">在法定的时间内提供，质疑答复时间相应顺延。质疑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不能按时提供必要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证明材料的，视同放弃质疑。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7.2.3 </w:t>
      </w:r>
      <w:r>
        <w:rPr>
          <w:rFonts w:ascii="宋体" w:hAnsi="宋体" w:eastAsia="宋体" w:cs="Times New Roman"/>
          <w:color w:val="auto"/>
          <w:sz w:val="24"/>
          <w:szCs w:val="24"/>
          <w:highlight w:val="none"/>
        </w:rPr>
        <w:t xml:space="preserve">对不符合质疑要求的，</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有权要求其补充必要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未在法定的时间内提供补充必要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证明材料的，视同放弃质疑。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7.2.4 采购人、采购代理机构</w:t>
      </w:r>
      <w:r>
        <w:rPr>
          <w:rFonts w:ascii="宋体" w:hAnsi="宋体" w:eastAsia="宋体" w:cs="Times New Roman"/>
          <w:color w:val="auto"/>
          <w:sz w:val="24"/>
          <w:szCs w:val="24"/>
          <w:highlight w:val="none"/>
        </w:rPr>
        <w:t xml:space="preserve">负责将质疑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提出的质疑函及</w:t>
      </w:r>
      <w:r>
        <w:rPr>
          <w:rFonts w:hint="eastAsia" w:ascii="宋体" w:hAnsi="宋体" w:eastAsia="宋体" w:cs="Times New Roman"/>
          <w:color w:val="auto"/>
          <w:sz w:val="24"/>
          <w:szCs w:val="24"/>
          <w:highlight w:val="none"/>
        </w:rPr>
        <w:t xml:space="preserve">相关</w:t>
      </w:r>
      <w:r>
        <w:rPr>
          <w:rFonts w:ascii="宋体" w:hAnsi="宋体" w:eastAsia="宋体" w:cs="Times New Roman"/>
          <w:color w:val="auto"/>
          <w:sz w:val="24"/>
          <w:szCs w:val="24"/>
          <w:highlight w:val="none"/>
        </w:rPr>
        <w:t xml:space="preserve">材料提供给评审委员会协助答复，并将答复意见回复质疑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。必要时，可向被质疑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转发《质疑函》及</w:t>
      </w:r>
      <w:r>
        <w:rPr>
          <w:rFonts w:hint="eastAsia" w:ascii="宋体" w:hAnsi="宋体" w:eastAsia="宋体" w:cs="Times New Roman"/>
          <w:color w:val="auto"/>
          <w:sz w:val="24"/>
          <w:szCs w:val="24"/>
          <w:highlight w:val="none"/>
        </w:rPr>
        <w:t xml:space="preserve">相关</w:t>
      </w:r>
      <w:r>
        <w:rPr>
          <w:rFonts w:ascii="宋体" w:hAnsi="宋体" w:eastAsia="宋体" w:cs="Times New Roman"/>
          <w:color w:val="auto"/>
          <w:sz w:val="24"/>
          <w:szCs w:val="24"/>
          <w:highlight w:val="none"/>
        </w:rPr>
        <w:t xml:space="preserve">材料。被质疑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应当在要求的时间内，以书面形式作出说明并提交</w:t>
      </w:r>
      <w:r>
        <w:rPr>
          <w:rFonts w:hint="eastAsia" w:ascii="宋体" w:hAnsi="宋体" w:eastAsia="宋体" w:cs="Times New Roman"/>
          <w:color w:val="auto"/>
          <w:sz w:val="24"/>
          <w:szCs w:val="24"/>
          <w:highlight w:val="none"/>
        </w:rPr>
        <w:t xml:space="preserve">相关</w:t>
      </w:r>
      <w:r>
        <w:rPr>
          <w:rFonts w:ascii="宋体" w:hAnsi="宋体" w:eastAsia="宋体" w:cs="Times New Roman"/>
          <w:color w:val="auto"/>
          <w:sz w:val="24"/>
          <w:szCs w:val="24"/>
          <w:highlight w:val="none"/>
        </w:rPr>
        <w:t xml:space="preserve">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 </w:t>
      </w:r>
      <w:r>
        <w:rPr>
          <w:rFonts w:ascii="宋体" w:hAnsi="宋体" w:eastAsia="宋体" w:cs="Times New Roman"/>
          <w:color w:val="auto"/>
          <w:sz w:val="24"/>
          <w:szCs w:val="24"/>
          <w:highlight w:val="none"/>
        </w:rPr>
        <w:t xml:space="preserve">质疑处理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7.3.1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供应商未按照法定程序进行质疑投诉的，</w:t>
      </w:r>
      <w:r>
        <w:rPr>
          <w:rFonts w:ascii="宋体" w:hAnsi="宋体" w:eastAsia="宋体" w:cs="Times New Roman"/>
          <w:color w:val="auto"/>
          <w:sz w:val="24"/>
          <w:szCs w:val="24"/>
          <w:highlight w:val="none"/>
        </w:rPr>
        <w:t xml:space="preserve">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7.3.2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供应商不配合或者采用不正当手段干扰政府采购质疑、投诉处理工作</w:t>
      </w:r>
      <w:r>
        <w:rPr>
          <w:rFonts w:ascii="宋体" w:hAnsi="宋体" w:eastAsia="宋体" w:cs="Times New Roman"/>
          <w:color w:val="auto"/>
          <w:sz w:val="24"/>
          <w:szCs w:val="24"/>
          <w:highlight w:val="none"/>
        </w:rPr>
        <w:t xml:space="preserve">的，视为一般失信行为。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7.3.3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供应商投诉受理期间，就同一事项多头举报，干扰财政部门投诉处理</w:t>
      </w:r>
      <w:r>
        <w:rPr>
          <w:rFonts w:ascii="宋体" w:hAnsi="宋体" w:eastAsia="宋体" w:cs="Times New Roman"/>
          <w:color w:val="auto"/>
          <w:sz w:val="24"/>
          <w:szCs w:val="24"/>
          <w:highlight w:val="none"/>
        </w:rPr>
        <w:t xml:space="preserve">的，视为一般失信行为。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7.3.4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供应商在全国范围12个月内三次以上质疑查无实据</w:t>
      </w:r>
      <w:r>
        <w:rPr>
          <w:rFonts w:ascii="宋体" w:hAnsi="宋体" w:eastAsia="宋体" w:cs="Times New Roman"/>
          <w:color w:val="auto"/>
          <w:sz w:val="24"/>
          <w:szCs w:val="24"/>
          <w:highlight w:val="none"/>
        </w:rPr>
        <w:t xml:space="preserve">的，视为一般失信行为。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7.3.5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供应商采用捏造事实、提供虚假材料或者以非法手段取得证明材料等方式进行虚假、恶意投诉</w:t>
      </w:r>
      <w:r>
        <w:rPr>
          <w:rFonts w:ascii="宋体" w:hAnsi="宋体" w:eastAsia="宋体" w:cs="Times New Roman"/>
          <w:color w:val="auto"/>
          <w:sz w:val="24"/>
          <w:szCs w:val="24"/>
          <w:highlight w:val="none"/>
        </w:rPr>
        <w:t xml:space="preserve">的，视为</w:t>
      </w:r>
      <w:r>
        <w:rPr>
          <w:rFonts w:hint="eastAsia" w:ascii="宋体" w:hAnsi="宋体" w:eastAsia="宋体" w:cs="Times New Roman"/>
          <w:color w:val="auto"/>
          <w:sz w:val="24"/>
          <w:szCs w:val="24"/>
          <w:highlight w:val="none"/>
        </w:rPr>
        <w:t xml:space="preserve">严重失信行为</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（证据来源的合法性存在明显疑问，投诉人无法证明其取得方式合法的，视为以非法手段取得证明材料）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7.3.6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供应商在全国范围12个月内三次以上投诉查无实据</w:t>
      </w:r>
      <w:r>
        <w:rPr>
          <w:rFonts w:ascii="宋体" w:hAnsi="宋体" w:eastAsia="宋体" w:cs="Times New Roman"/>
          <w:color w:val="auto"/>
          <w:sz w:val="24"/>
          <w:szCs w:val="24"/>
          <w:highlight w:val="none"/>
        </w:rPr>
        <w:t xml:space="preserve">的，视为</w:t>
      </w:r>
      <w:r>
        <w:rPr>
          <w:rFonts w:hint="eastAsia" w:ascii="宋体" w:hAnsi="宋体" w:eastAsia="宋体" w:cs="Times New Roman"/>
          <w:color w:val="auto"/>
          <w:sz w:val="24"/>
          <w:szCs w:val="24"/>
          <w:highlight w:val="none"/>
        </w:rPr>
        <w:t xml:space="preserve">严重失信行为</w:t>
      </w:r>
      <w:r>
        <w:rPr>
          <w:rFonts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7.4 未尽事宜，依照有关法律、法规执行。</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 投诉</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8.1 投诉事项依照有关法律、法规执行。</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二、招标文件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 招标文件构成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9.1 要求提供的货物、招标过程及合同条款在招标文件中均有说明，招标文件分为七章，各章的内容如下：</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第一章  投标邀请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第二章  投标人须知</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第三章  政府采购合同格式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第四章  投标文件格式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第五章  合同专用条款表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第六章  项目需求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第七章  评标办法</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 招标文件的澄清或修改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三、投标文件的编制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 投标文件编写注意事项</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Times New Roman"/>
          <w:b/>
          <w:bCs/>
          <w:color w:val="auto"/>
          <w:sz w:val="24"/>
          <w:szCs w:val="24"/>
          <w:highlight w:val="none"/>
        </w:rPr>
        <w:t xml:space="preserve">无效响应处理</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Times New Roman"/>
          <w:b/>
          <w:bCs/>
          <w:color w:val="auto"/>
          <w:sz w:val="24"/>
          <w:szCs w:val="24"/>
          <w:highlight w:val="none"/>
        </w:rPr>
        <w:t xml:space="preserve">作出满足原要求和条件的响应</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11.3 </w:t>
      </w:r>
      <w:r>
        <w:rPr>
          <w:rFonts w:hint="eastAsia" w:ascii="宋体" w:hAnsi="宋体" w:eastAsia="宋体" w:cs="Times New Roman"/>
          <w:b/>
          <w:bCs/>
          <w:color w:val="auto"/>
          <w:sz w:val="24"/>
          <w:szCs w:val="24"/>
          <w:highlight w:val="none"/>
        </w:rPr>
        <w:t xml:space="preserve">招标文件中标注★号的部分为实质性要求和条件</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 投标的语言及计量单位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12.2 投标文件中使用的计量单位除招标文件中有特殊规定外，一律使用中国法定计量单位。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 投标报价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（1）投标的货物总价；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（2）货物的标准附件、备品备件、专用工具、运输、装卸等各种费用；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（3）必要的保险费用和各项税金；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（4）投标总价要求包含安装维保费用。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13.2 投标人可就第六章“项目需求”中的某个分标货物内容作完整唯一报价，也可就所有分标或某几个分标货物内容分别作完整唯一报价。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 投标货币</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14.1 投标应以人民币报价。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 投标文件有效期</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15.1 本项目投标文件有效期为：投标文件接收截止时间结束后60天内，投标文件有效期不符合招标文件要求的，该投标人投标无效。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15.2 在特殊情况下，采购代理机构可与投标人协商延长投标文件的有效期，这种要求与答复均应以书面形式提交。</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 投标保证金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本项目不收取投标保证金。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 投标文件制作工具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 投标文件构成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投标人编制的投标文件应包括</w:t>
      </w:r>
      <w:r>
        <w:rPr>
          <w:rFonts w:hint="eastAsia" w:ascii="宋体" w:hAnsi="宋体" w:eastAsia="宋体" w:cs="Times New Roman"/>
          <w:b/>
          <w:color w:val="auto"/>
          <w:sz w:val="24"/>
          <w:szCs w:val="24"/>
          <w:highlight w:val="none"/>
        </w:rPr>
        <w:t xml:space="preserve">商务文件、技术文件、评审因素所需材料和其他材料</w:t>
      </w:r>
      <w:r>
        <w:rPr>
          <w:rFonts w:hint="eastAsia" w:ascii="宋体" w:hAnsi="宋体" w:eastAsia="宋体" w:cs="Times New Roman"/>
          <w:color w:val="auto"/>
          <w:sz w:val="24"/>
          <w:szCs w:val="24"/>
          <w:highlight w:val="none"/>
        </w:rPr>
        <w:t xml:space="preserve">等内容，相关文件的提交如未特别注明可提供扫描件。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18.1 </w:t>
      </w:r>
      <w:r>
        <w:rPr>
          <w:rFonts w:hint="eastAsia" w:ascii="宋体" w:hAnsi="宋体" w:eastAsia="宋体" w:cs="Times New Roman"/>
          <w:b/>
          <w:color w:val="auto"/>
          <w:sz w:val="24"/>
          <w:szCs w:val="24"/>
          <w:highlight w:val="none"/>
        </w:rPr>
        <w:t xml:space="preserve">投标文件格式：</w:t>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 xml:space="preserve">填写投标人名称、投标人地址、法定代表人、委托代理人、日期等内容。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18.2 </w:t>
      </w:r>
      <w:r>
        <w:rPr>
          <w:rFonts w:hint="eastAsia" w:ascii="宋体" w:hAnsi="宋体" w:eastAsia="宋体" w:cs="Times New Roman"/>
          <w:b/>
          <w:color w:val="auto"/>
          <w:sz w:val="24"/>
          <w:szCs w:val="24"/>
          <w:highlight w:val="none"/>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（1）响应函：请按给定格式及要求填写。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（2）开标一览表：请按给定格式及要求填写。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（3）投标产品配置及分项报价表：请按第四章“投标文件格式”提供的“投标产品配置及分项报价表”格式及要求填写。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（5）资格审查材料：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（6）法定代表人授权委托书：请按给定格式及要求填写。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（7）商务条款偏离表：请按给定格式及要求，并根据投标人投标承诺的商务条件与“合同条款”“合同专用条款表”“项目需求”等的差异填写。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3 </w:t>
      </w:r>
      <w:r>
        <w:rPr>
          <w:rFonts w:hint="eastAsia" w:ascii="宋体" w:hAnsi="宋体" w:eastAsia="宋体" w:cs="Times New Roman"/>
          <w:b/>
          <w:color w:val="auto"/>
          <w:sz w:val="24"/>
          <w:szCs w:val="24"/>
          <w:highlight w:val="none"/>
        </w:rPr>
        <w:t xml:space="preserve">技术文件：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（1）技术标：可以但不限于技术方案、产品技术资料、招标文件规定的其他文件等，格式自定。</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18</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4</w:t>
      </w:r>
      <w:r>
        <w:rPr>
          <w:rFonts w:hint="eastAsia" w:ascii="宋体" w:hAnsi="宋体" w:eastAsia="宋体" w:cs="Times New Roman"/>
          <w:b/>
          <w:color w:val="auto"/>
          <w:sz w:val="24"/>
          <w:szCs w:val="24"/>
          <w:highlight w:val="none"/>
        </w:rPr>
        <w:t xml:space="preserve">评审因素所需材料：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如有，请按招标文件要求提供。</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18</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5 </w:t>
      </w:r>
      <w:r>
        <w:rPr>
          <w:rFonts w:hint="eastAsia" w:ascii="宋体" w:hAnsi="宋体" w:eastAsia="宋体" w:cs="Times New Roman"/>
          <w:b/>
          <w:color w:val="auto"/>
          <w:sz w:val="24"/>
          <w:szCs w:val="24"/>
          <w:highlight w:val="none"/>
        </w:rPr>
        <w:t xml:space="preserve">其他材料：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如有，请按招标文件要求提供。</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 生成投标文件</w:t>
      </w:r>
      <w:r/>
    </w:p>
    <w:p>
      <w:pPr>
        <w:ind w:firstLine="480"/>
        <w:spacing w:line="360" w:lineRule="auto"/>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 xml:space="preserve">19.1 投标文件应由</w:t>
      </w:r>
      <w:r>
        <w:rPr>
          <w:rFonts w:hint="eastAsia" w:ascii="宋体" w:hAnsi="宋体" w:eastAsia="宋体" w:cs="Times New Roman"/>
          <w:b/>
          <w:color w:val="auto"/>
          <w:sz w:val="24"/>
          <w:szCs w:val="24"/>
          <w:highlight w:val="none"/>
        </w:rPr>
        <w:t xml:space="preserve">法定代表人或其委托代理人</w:t>
      </w:r>
      <w:r>
        <w:rPr>
          <w:rFonts w:hint="eastAsia" w:ascii="宋体" w:hAnsi="宋体" w:eastAsia="宋体" w:cs="Times New Roman"/>
          <w:b/>
          <w:bCs/>
          <w:color w:val="auto"/>
          <w:sz w:val="24"/>
          <w:szCs w:val="24"/>
          <w:highlight w:val="none"/>
        </w:rPr>
        <w:t xml:space="preserve">在凡规定签章处逐一签字或盖章并加盖投标人公章（相关内容可以打印、签字、盖章后扫描电子件）或</w:t>
      </w:r>
      <w:r>
        <w:rPr>
          <w:rFonts w:hint="eastAsia" w:ascii="宋体" w:hAnsi="宋体" w:eastAsia="宋体" w:cs="Times New Roman"/>
          <w:b/>
          <w:color w:val="auto"/>
          <w:sz w:val="24"/>
          <w:szCs w:val="24"/>
          <w:highlight w:val="none"/>
        </w:rPr>
        <w:t xml:space="preserve">使用电子签章</w:t>
      </w:r>
      <w:r>
        <w:rPr>
          <w:rFonts w:hint="eastAsia" w:ascii="宋体" w:hAnsi="宋体" w:eastAsia="宋体" w:cs="Times New Roman"/>
          <w:color w:val="auto"/>
          <w:sz w:val="24"/>
          <w:szCs w:val="24"/>
          <w:highlight w:val="none"/>
        </w:rPr>
        <w:t xml:space="preserve">，本招标文件所表述的公章是指刻有投标人法定名称的印章，不包括合同、财务、税务、发票等形式的业务专用章。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19.2 电子投标文件不得涂改、行间插字或删除，如出现上述情况应重新编制。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19.3 投标文件制作工具生成内容相同、加密与未加密两个版本电子投标文件，加密版本用于提交上传</w:t>
      </w:r>
      <w:r>
        <w:rPr>
          <w:rFonts w:ascii="宋体" w:hAnsi="宋体" w:eastAsia="宋体" w:cs="Times New Roman"/>
          <w:color w:val="auto"/>
          <w:sz w:val="24"/>
          <w:szCs w:val="24"/>
          <w:highlight w:val="none"/>
        </w:rPr>
        <w:t xml:space="preserve">，未加密版本用于特殊情况处理。</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四、投标文件及样品的提交</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 投标文件的上传、修改和撤回</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20.1 投标人应当使用投标文件制作工具，生成加密电子投标文件一份，在规定的截止时间前上传，迟于截止时间的</w:t>
      </w:r>
      <w:r>
        <w:rPr>
          <w:rFonts w:hint="eastAsia" w:ascii="宋体" w:hAnsi="宋体" w:eastAsia="宋体" w:cs="Times New Roman"/>
          <w:b/>
          <w:color w:val="auto"/>
          <w:sz w:val="24"/>
          <w:szCs w:val="24"/>
          <w:highlight w:val="none"/>
        </w:rPr>
        <w:t xml:space="preserve">不予接收</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20.2 投标人在上传投标文件后可以对其修改或撤回，但这种修改或撤回，必须在规定的投标截止时间前。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 xml:space="preserve">20.4 投标人不得在投标截止时间后修改投标文件，也不得在投标截止时间起至投标有效期满前撤回投标文件。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提交投标样品截止时间和地点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 采购项目需要提交样品的，投标人应当于招标文件规定的样品接收截止</w:t>
      </w:r>
      <w:r>
        <w:rPr>
          <w:rFonts w:hint="eastAsia" w:ascii="宋体" w:hAnsi="宋体" w:eastAsia="宋体" w:cs="Times New Roman"/>
          <w:bCs/>
          <w:color w:val="auto"/>
          <w:sz w:val="24"/>
          <w:szCs w:val="24"/>
          <w:highlight w:val="none"/>
        </w:rPr>
        <w:t xml:space="preserve">时间前将样品送达指定地点并登记完毕，</w:t>
      </w:r>
      <w:r>
        <w:rPr>
          <w:rFonts w:hint="eastAsia" w:ascii="宋体" w:hAnsi="宋体" w:eastAsia="宋体" w:cs="Times New Roman"/>
          <w:b/>
          <w:bCs/>
          <w:color w:val="auto"/>
          <w:sz w:val="24"/>
          <w:szCs w:val="24"/>
          <w:highlight w:val="none"/>
        </w:rPr>
        <w:t xml:space="preserve">否则不予接收</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 中标人提供的样品由采购人封存、保管，作为履约验收的参考。未中标人提供的样品，投标人应在中标结果公布后两个工作日内领回，否则按无主物品处理。</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五、开标与评标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 开标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22.1 采购代理机构将在第一章“投标邀请”规定的时间和地点进行开标，投标人的法定代表人或其委托代理人应</w:t>
      </w:r>
      <w:r>
        <w:rPr>
          <w:rFonts w:hint="eastAsia" w:ascii="宋体" w:hAnsi="宋体" w:eastAsia="宋体" w:cs="Times New Roman"/>
          <w:b/>
          <w:color w:val="auto"/>
          <w:sz w:val="24"/>
          <w:szCs w:val="24"/>
          <w:highlight w:val="none"/>
        </w:rPr>
        <w:t xml:space="preserve">准备身份证件和用于生成、加密和上传电子投标文件的CA数字证书参加开标会</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线下开标的，供应商必须按规定时间递交CA数字证书，</w:t>
      </w:r>
      <w:r>
        <w:rPr>
          <w:rFonts w:hint="eastAsia" w:ascii="宋体" w:hAnsi="宋体" w:eastAsia="宋体" w:cs="Times New Roman"/>
          <w:b/>
          <w:color w:val="auto"/>
          <w:sz w:val="24"/>
          <w:szCs w:val="24"/>
          <w:highlight w:val="none"/>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不见面交易的，供应商必须提前登录不见面开标大厅并在投标文件递交截止时间之前完成签到，</w:t>
      </w:r>
      <w:r>
        <w:rPr>
          <w:rFonts w:hint="eastAsia" w:ascii="宋体" w:hAnsi="宋体" w:eastAsia="宋体" w:cs="Times New Roman"/>
          <w:b/>
          <w:color w:val="auto"/>
          <w:sz w:val="24"/>
          <w:szCs w:val="24"/>
          <w:highlight w:val="none"/>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供应商未参加开标会的，视同认可开标结果。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22.2 开标程序：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（1）开标会由采购代理机构主持，主持人宣布开标会议开始；</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（2）投标人解密投标文件；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（4）宣布评标期间的有关事项；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（5）开标会议结束。</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22.3 采购代理机构将做开标记录（包括投标人名称、投标总报价、分标报价、交货期等）。</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22.4 开标结束后，采购人依法对投标人的资格进行审查。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 评标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23.1 成立评标委员会。评标委员会由采购人代表和评审专家组成。</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23.2 评标的方式。本采购项目采用不公开方式评标，评标的依据为招标文件和投标文件。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23.3 </w:t>
      </w:r>
      <w:r>
        <w:rPr>
          <w:rFonts w:hint="eastAsia" w:ascii="宋体" w:hAnsi="宋体" w:eastAsia="宋体" w:cs="Times New Roman"/>
          <w:bCs/>
          <w:color w:val="auto"/>
          <w:sz w:val="24"/>
          <w:szCs w:val="24"/>
          <w:highlight w:val="none"/>
        </w:rPr>
        <w:t xml:space="preserve">评标工作程序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（1）评标委员会负责具体评标事务，并独立履行下列职责：</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w:t>
      </w:r>
      <w:r>
        <w:rPr>
          <w:rFonts w:ascii="宋体" w:hAnsi="宋体" w:eastAsia="宋体" w:cs="Times New Roman"/>
          <w:color w:val="auto"/>
          <w:sz w:val="24"/>
          <w:szCs w:val="24"/>
          <w:highlight w:val="none"/>
        </w:rPr>
        <w:t xml:space="preserve">审查、评价投标文件是否符合招标文件的商务、技术等实质性要求；</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w:t>
      </w:r>
      <w:r>
        <w:rPr>
          <w:rFonts w:ascii="宋体" w:hAnsi="宋体" w:eastAsia="宋体" w:cs="Times New Roman"/>
          <w:color w:val="auto"/>
          <w:sz w:val="24"/>
          <w:szCs w:val="24"/>
          <w:highlight w:val="none"/>
        </w:rPr>
        <w:t xml:space="preserve">要求投标人对投标文件有关事项作出澄清或者说明；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w:t>
      </w:r>
      <w:r>
        <w:rPr>
          <w:rFonts w:ascii="宋体" w:hAnsi="宋体" w:eastAsia="宋体" w:cs="Times New Roman"/>
          <w:color w:val="auto"/>
          <w:sz w:val="24"/>
          <w:szCs w:val="24"/>
          <w:highlight w:val="none"/>
        </w:rPr>
        <w:t xml:space="preserve">对投标文件进行比较和评价</w:t>
      </w:r>
      <w:r>
        <w:rPr>
          <w:rFonts w:hint="eastAsia" w:ascii="宋体" w:hAnsi="宋体" w:eastAsia="宋体" w:cs="Times New Roman"/>
          <w:color w:val="auto"/>
          <w:sz w:val="24"/>
          <w:szCs w:val="24"/>
          <w:highlight w:val="none"/>
        </w:rPr>
        <w:t xml:space="preserve">（对商务、技术及其他内容的比较和评价结束前，评标委员会不得比较和评价投标报价）</w:t>
      </w:r>
      <w:r>
        <w:rPr>
          <w:rFonts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④</w:t>
      </w:r>
      <w:r>
        <w:rPr>
          <w:rFonts w:ascii="宋体" w:hAnsi="宋体" w:eastAsia="宋体" w:cs="Times New Roman"/>
          <w:color w:val="auto"/>
          <w:sz w:val="24"/>
          <w:szCs w:val="24"/>
          <w:highlight w:val="none"/>
        </w:rPr>
        <w:t xml:space="preserve">确定中标候选人名单，以及根据采购人授权直接确定中标人；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⑤</w:t>
      </w:r>
      <w:r>
        <w:rPr>
          <w:rFonts w:ascii="宋体" w:hAnsi="宋体" w:eastAsia="宋体" w:cs="Times New Roman"/>
          <w:color w:val="auto"/>
          <w:sz w:val="24"/>
          <w:szCs w:val="24"/>
          <w:highlight w:val="none"/>
        </w:rPr>
        <w:t xml:space="preserve">向采购人、采购代理机构或者有关部门报告评标中发现的违法行为；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⑥</w:t>
      </w:r>
      <w:r>
        <w:rPr>
          <w:rFonts w:ascii="宋体" w:hAnsi="宋体" w:eastAsia="宋体" w:cs="Times New Roman"/>
          <w:color w:val="auto"/>
          <w:sz w:val="24"/>
          <w:szCs w:val="24"/>
          <w:highlight w:val="none"/>
        </w:rPr>
        <w:t xml:space="preserve">编写评标报告</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（2）评标委员会对符合资格的投标人的投标文件进行符合性审查，以确定其是否满足招标文件的实质性要求。</w:t>
      </w:r>
      <w:r/>
    </w:p>
    <w:p>
      <w:pPr>
        <w:ind w:firstLine="482"/>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符合性检查</w:t>
      </w:r>
      <w:r>
        <w:rPr>
          <w:rFonts w:hint="eastAsia" w:ascii="宋体" w:hAnsi="宋体" w:eastAsia="宋体" w:cs="Times New Roman"/>
          <w:color w:val="auto"/>
          <w:sz w:val="24"/>
          <w:szCs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评标委员会首先审查每份投标文件是否实质性响应了招标文件的要求。实质性响应的投标文件是与招标文件要求的全部实质性条款、条件和规格相符</w:t>
      </w:r>
      <w:r>
        <w:rPr>
          <w:rFonts w:ascii="宋体" w:hAnsi="宋体" w:eastAsia="宋体" w:cs="Times New Roman"/>
          <w:color w:val="auto"/>
          <w:sz w:val="24"/>
          <w:szCs w:val="24"/>
          <w:highlight w:val="none"/>
        </w:rPr>
        <w:t xml:space="preserve">且其余非实质性技术及商务条款</w:t>
      </w:r>
      <w:r>
        <w:rPr>
          <w:rFonts w:hint="eastAsia" w:ascii="宋体" w:hAnsi="宋体" w:eastAsia="宋体" w:cs="Times New Roman"/>
          <w:color w:val="auto"/>
          <w:sz w:val="24"/>
          <w:szCs w:val="24"/>
          <w:highlight w:val="none"/>
        </w:rPr>
        <w:t xml:space="preserve">没有重大偏离或保留。</w:t>
      </w:r>
      <w:r/>
    </w:p>
    <w:p>
      <w:pPr>
        <w:ind w:firstLine="482"/>
        <w:jc w:val="left"/>
        <w:spacing w:line="360" w:lineRule="auto"/>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所谓重大偏离或保留</w:t>
      </w:r>
      <w:r>
        <w:rPr>
          <w:rFonts w:ascii="宋体" w:hAnsi="宋体" w:eastAsia="宋体" w:cs="Times New Roman"/>
          <w:color w:val="auto"/>
          <w:sz w:val="24"/>
          <w:szCs w:val="24"/>
          <w:highlight w:val="none"/>
        </w:rPr>
        <w:t xml:space="preserve">，是指与</w:t>
      </w:r>
      <w:r>
        <w:rPr>
          <w:rFonts w:hint="eastAsia" w:ascii="宋体" w:hAnsi="宋体" w:eastAsia="宋体" w:cs="Times New Roman"/>
          <w:color w:val="auto"/>
          <w:sz w:val="24"/>
          <w:szCs w:val="24"/>
          <w:highlight w:val="none"/>
        </w:rPr>
        <w:t xml:space="preserve">招标</w:t>
      </w:r>
      <w:r>
        <w:rPr>
          <w:rFonts w:ascii="宋体" w:hAnsi="宋体" w:eastAsia="宋体" w:cs="Times New Roman"/>
          <w:color w:val="auto"/>
          <w:sz w:val="24"/>
          <w:szCs w:val="24"/>
          <w:highlight w:val="none"/>
        </w:rPr>
        <w:t xml:space="preserve">文件规定的主要技术指标或重要的商务条款或除上述以外的多项指标要求存在负偏离，或者在实质上与</w:t>
      </w:r>
      <w:r>
        <w:rPr>
          <w:rFonts w:hint="eastAsia" w:ascii="宋体" w:hAnsi="宋体" w:eastAsia="宋体" w:cs="Times New Roman"/>
          <w:color w:val="auto"/>
          <w:sz w:val="24"/>
          <w:szCs w:val="24"/>
          <w:highlight w:val="none"/>
        </w:rPr>
        <w:t xml:space="preserve">招标</w:t>
      </w:r>
      <w:r>
        <w:rPr>
          <w:rFonts w:ascii="宋体" w:hAnsi="宋体" w:eastAsia="宋体" w:cs="Times New Roman"/>
          <w:color w:val="auto"/>
          <w:sz w:val="24"/>
          <w:szCs w:val="24"/>
          <w:highlight w:val="none"/>
        </w:rPr>
        <w:t xml:space="preserve">文件不一致，而且限制了合同中</w:t>
      </w:r>
      <w:r>
        <w:rPr>
          <w:rFonts w:hint="eastAsia" w:ascii="宋体" w:hAnsi="宋体" w:eastAsia="宋体" w:cs="Times New Roman"/>
          <w:color w:val="auto"/>
          <w:sz w:val="24"/>
          <w:szCs w:val="24"/>
          <w:highlight w:val="none"/>
        </w:rPr>
        <w:t xml:space="preserve">采购人和见证方</w:t>
      </w:r>
      <w:r>
        <w:rPr>
          <w:rFonts w:ascii="宋体" w:hAnsi="宋体" w:eastAsia="宋体" w:cs="Times New Roman"/>
          <w:color w:val="auto"/>
          <w:sz w:val="24"/>
          <w:szCs w:val="24"/>
          <w:highlight w:val="none"/>
        </w:rPr>
        <w:t xml:space="preserve">的权利或</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的义务，保留或给予纠正这些偏离的机会将会对其他实质性响应要求的</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的竞争地位产生不公正的影响。重大偏离的认定需经过</w:t>
      </w:r>
      <w:r>
        <w:rPr>
          <w:rFonts w:hint="eastAsia" w:ascii="宋体" w:hAnsi="宋体" w:eastAsia="宋体" w:cs="Times New Roman"/>
          <w:color w:val="auto"/>
          <w:sz w:val="24"/>
          <w:szCs w:val="24"/>
          <w:highlight w:val="none"/>
        </w:rPr>
        <w:t xml:space="preserve">评标委员会</w:t>
      </w:r>
      <w:r>
        <w:rPr>
          <w:rFonts w:ascii="宋体" w:hAnsi="宋体" w:eastAsia="宋体" w:cs="Times New Roman"/>
          <w:color w:val="auto"/>
          <w:sz w:val="24"/>
          <w:szCs w:val="24"/>
          <w:highlight w:val="none"/>
        </w:rPr>
        <w:t xml:space="preserve">2/3及以上成员的认定。</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评标委员会决定投标文件的响应性仅基于投标文件本身的内容，而不寻求外部证据。</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评标委员会将拒绝被确定为非实质性响应的投标人，投标人不能通过修正或撤销不符之处而使其投标成为实质性响应的投标。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（3）澄清</w:t>
      </w:r>
      <w:r>
        <w:rPr>
          <w:rFonts w:hint="eastAsia" w:ascii="宋体" w:hAnsi="宋体" w:eastAsia="宋体" w:cs="Times New Roman"/>
          <w:color w:val="auto"/>
          <w:sz w:val="24"/>
          <w:szCs w:val="24"/>
          <w:highlight w:val="none"/>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23.4 评标过程的保密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 投标文件报价出现前后不一致的，按照下列规定修正：</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投标文件中开标一览表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报价表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内容与投标文件中相应内容不一致的，以开标一览表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报价表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为准；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大写金额和小写金额不一致的，以大写金额为准；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宋体" w:cs="Times New Roman"/>
          <w:color w:val="auto"/>
          <w:sz w:val="24"/>
          <w:szCs w:val="24"/>
          <w:highlight w:val="none"/>
        </w:rPr>
        <w:t xml:space="preserve">单价金额小数点或者百分比有明显错位的，以开标一览表的总价为准，并修改单价；</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ascii="宋体" w:hAnsi="宋体" w:eastAsia="宋体" w:cs="Times New Roman"/>
          <w:color w:val="auto"/>
          <w:sz w:val="24"/>
          <w:szCs w:val="24"/>
          <w:highlight w:val="none"/>
        </w:rPr>
        <w:t xml:space="preserve">总价金额与按单价汇总金额不一致的，以单价金额计算结果为准。</w:t>
      </w:r>
      <w:r/>
    </w:p>
    <w:p>
      <w:pPr>
        <w:ind w:firstLine="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同时出现两种以上不一致的，按照前款规定的顺序修正。修正后的报价</w:t>
      </w:r>
      <w:r>
        <w:rPr>
          <w:rFonts w:hint="eastAsia" w:ascii="宋体" w:hAnsi="宋体" w:eastAsia="宋体" w:cs="Times New Roman"/>
          <w:color w:val="auto"/>
          <w:sz w:val="24"/>
          <w:szCs w:val="24"/>
          <w:highlight w:val="none"/>
        </w:rPr>
        <w:t xml:space="preserve">按照政府采购有关规定</w:t>
      </w:r>
      <w:r>
        <w:rPr>
          <w:rFonts w:ascii="宋体" w:hAnsi="宋体" w:eastAsia="宋体" w:cs="Times New Roman"/>
          <w:color w:val="auto"/>
          <w:sz w:val="24"/>
          <w:szCs w:val="24"/>
          <w:highlight w:val="none"/>
        </w:rPr>
        <w:t xml:space="preserve">经投标人确认后产生约束力，投标人不确认的，其投标无效。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 </w:t>
      </w:r>
      <w:r>
        <w:rPr>
          <w:rFonts w:hint="eastAsia" w:ascii="宋体" w:hAnsi="宋体" w:eastAsia="宋体" w:cs="Times New Roman"/>
          <w:b/>
          <w:color w:val="auto"/>
          <w:sz w:val="24"/>
          <w:szCs w:val="24"/>
          <w:highlight w:val="none"/>
        </w:rPr>
        <w:t xml:space="preserve">投标人有下列情况之一的，投标无效：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（1）未按照招标文件的规定提交投标保证金的；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（2）投标文件未按招标文件要求编制、签署、盖章的；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（3）不具备招标文件中规定的资格要求的；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（4）报价超过招标文件中规定的预算金额或者最高限价的；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（5）投标文件含有采购人不能接受的附加条件的；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（7）投标人提交的电子投标文件、投标文件备份U盘（仅现场开标适用）均因其自身原因出现问题导致无法电子评标的；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（8）法律、法规和招标文件规定的其他无效情形。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无效投标条款和废标条款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.1无效投标条款：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（8）不符合招标文件中规定的实质性要求和条件的（招标文件中标注★号的部分为实质性要求和条件）。</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（13）其他法律、法规及本招标文件规定的属于无效投标的情形。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有下列情形之一的，视为投标人串通投标，投标无效：</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（5）不同投标人的投标文件相互混装。</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（3）符合专业条件的投标人或者对招标文件做实质响应的投标人不足三家的。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.4出现投标截止时间结束后参加投标的投标人或者在评标期间对招标文件做出实质响应的投标人不足三家情况的，按照政府采购相关规定执行。</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26.5政府采购异常低价审查：</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（1）评审过程中出现下列情形之一的，评审委员会应当启动异常低价投标（响应）审查程序：</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①投标（响应）报价低于采购项目预算50%的，即投标（响应）报价&lt;采购项目预算×50%；</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②投标（响应）报价低于采购项目最高限价45%的，即投标（响应）报价&lt;采购项目最高限价×45%；</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③评审委员会认定的供应商报价过低、有可能影响产品质量或者不能诚信履约的其他情形。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26.6无效投标条款和废标条款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本项目遵照执行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关于落实解决政府采购异常低价问题相关措施的通知</w:t>
      </w:r>
      <w:r>
        <w:rPr>
          <w:rFonts w:hint="eastAsia" w:ascii="宋体" w:hAnsi="宋体" w:eastAsia="宋体" w:cs="宋体"/>
          <w:color w:val="auto"/>
          <w:sz w:val="24"/>
          <w:szCs w:val="24"/>
          <w:highlight w:val="none"/>
          <w:lang w:eastAsia="zh-CN"/>
        </w:rPr>
        <w:t xml:space="preserve">》（连财购〔2025]24号）</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评标原则、评标办法和特殊情况处理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评标原则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评标办法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详见第七章“评标办法”。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现场开标特殊情况处理（采用不见面交易方式招标的本条款不适用）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因“开评标系统”自身故障，开标活动无法正常进行时，将使用投标文件备份U盘继续进行开标活动。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对于不同载体的投标文件，开标、评标及认定顺序为电子投标文件、投标备份U盘，前项不能读取的可按后项评审。</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六、中标结果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 中标人的确定</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.1 评标委员会按照评审得分由高到低顺序推荐3名中标候选人。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.2 根据采购人的授权，由评标委员会直接确定排名第一的中标候选人为中标人。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 中标通知书</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.1 中标人确定后，中标结果由采购代理机构公告，中标公告期限为1个工作日。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.2 在公告中标结果的同时，由采购代理机构向中标人发出中标通知书，</w:t>
      </w:r>
      <w:r>
        <w:rPr>
          <w:rFonts w:hint="eastAsia" w:ascii="宋体" w:hAnsi="宋体" w:eastAsia="宋体" w:cs="Times New Roman"/>
          <w:b/>
          <w:color w:val="auto"/>
          <w:sz w:val="24"/>
          <w:szCs w:val="24"/>
          <w:highlight w:val="none"/>
        </w:rPr>
        <w:t xml:space="preserve">中标供应商在领取中标通知书时，需提供伍份与电子投标文件一致的纸质打印投标文件</w:t>
      </w:r>
      <w:r>
        <w:rPr>
          <w:rFonts w:hint="eastAsia" w:ascii="宋体" w:hAnsi="宋体" w:eastAsia="宋体" w:cs="Times New Roman"/>
          <w:color w:val="auto"/>
          <w:sz w:val="24"/>
          <w:szCs w:val="24"/>
          <w:highlight w:val="none"/>
        </w:rPr>
        <w:t xml:space="preserve">；对未通过资格审查的投标人，应当告知其未通过的原因；采用综合评分法评审的，还应当告知未中标人本人的评审得分与排序。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.3 采购代理机构无义务向未中标投标人解释落标原因和退回投标文件。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 签订合同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.2 中标人因不可抗力或者自身原因不能履行政府采购合同的，按政府采购有关法律法规执行。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 履约保证金及质保金</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.3 履约保证金自合同生效之日起至合同约定的中标人主要义务履行完毕止，采购人应当按合同约定及时退还履约保证金。</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.4 本项目履约保证金要求详见招标文件第五章“合同专用条款表”。</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.5 采购人与中标人应按第五章“合同专用条款表”约定质保金，质保期内中标人提供的标的性能、质量和服务符合合同约定，经验收合格，质保期满后该款如数退还（不计利息）。</w:t>
      </w:r>
      <w:r/>
    </w:p>
    <w:p>
      <w:pPr>
        <w:keepNext/>
        <w:spacing w:line="360" w:lineRule="auto"/>
        <w:rPr>
          <w:rFonts w:ascii="Times New Roman" w:hAnsi="Times New Roman" w:eastAsia="宋体" w:cs="Times New Roman"/>
          <w:color w:val="auto"/>
          <w:sz w:val="24"/>
          <w:szCs w:val="24"/>
          <w:highlight w:val="none"/>
        </w:rPr>
        <w:outlineLvl w:val="1"/>
      </w:pPr>
      <w:r>
        <w:rPr>
          <w:rFonts w:hint="eastAsia" w:ascii="Times New Roman" w:hAnsi="Times New Roman" w:eastAsia="黑体" w:cs="Times New Roman"/>
          <w:b/>
          <w:color w:val="auto"/>
          <w:sz w:val="28"/>
          <w:szCs w:val="20"/>
          <w:highlight w:val="none"/>
        </w:rPr>
        <w:t xml:space="preserve">七、其他事项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解释权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有关事宜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所有与本招标文件有关的函电和通讯地址见第一章“投标邀请”。</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八、政策功能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、促进中小企业发展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价格给予扣除标准：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auto"/>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本项目执行财政部、工业和信息化部关于</w:t>
      </w:r>
      <w:r>
        <w:rPr>
          <w:rFonts w:hint="eastAsia" w:ascii="宋体" w:hAnsi="宋体" w:eastAsia="宋体" w:cs="宋体"/>
          <w:color w:val="auto"/>
          <w:sz w:val="24"/>
          <w:szCs w:val="24"/>
          <w:highlight w:val="none"/>
        </w:rPr>
        <w:t xml:space="preserve">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本项目价格扣除计算方法如下：参与报价得分计算的价格＝投标人的投标报价-小型企业、微型企业、监狱企业、残疾人福利性单位的投标报价×10%。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参加政府采购活动的投标人享受价格评审优惠的应当提供的材料：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.3.1 投标人提供的货物全部由小型企业、微型企业制造的，提供《中小企业声明函》。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.3.2 投标人为残疾人福利性单位且提供的货物全部由残疾人福利性单位制造的，符合财库〔2017〕141号文件规定条件的残疾人福利性单位视同小型企业、微型企业，提供《残疾人福利性单位声明函》。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.3.3 投标人为监狱企业或提供的货物由监狱企业制造的，提供省级以上监狱管理局、戒毒管理局（含新疆生产建设兵团）出具的属于监狱企业的证明文件。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 司法部</w:t>
      </w:r>
      <w:r>
        <w:rPr>
          <w:rFonts w:hint="eastAsia" w:ascii="宋体" w:hAnsi="宋体" w:eastAsia="宋体" w:cs="宋体"/>
          <w:color w:val="auto"/>
          <w:sz w:val="24"/>
          <w:szCs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、支持绿色发展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numPr>
          <w:ilvl w:val="0"/>
          <w:numId w:val="2"/>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政府采购需求标准</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36.1本项目执行《绿色数据中心政府采购需求</w:t>
      </w:r>
      <w:r>
        <w:rPr>
          <w:rFonts w:hint="eastAsia" w:ascii="宋体" w:hAnsi="宋体" w:eastAsia="宋体" w:cs="宋体"/>
          <w:b w:val="0"/>
          <w:color w:val="auto"/>
          <w:sz w:val="24"/>
          <w:szCs w:val="24"/>
          <w:highlight w:val="none"/>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Start w:id="7" w:name="_Toc139967211"/>
      <w:r/>
      <w:bookmarkStart w:id="8" w:name="_Toc513622228"/>
      <w:r/>
      <w:bookmarkStart w:id="9" w:name="_Toc150765436"/>
      <w:r/>
      <w:bookmarkStart w:id="10" w:name="_Toc139966427"/>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37.采购本国产品的支持政策</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37.1 《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spacing w:line="360" w:lineRule="auto"/>
        <w:rPr>
          <w:rFonts w:hint="eastAsia" w:hAnsi="宋体"/>
          <w:color w:val="auto"/>
          <w:highlight w:val="none"/>
        </w:rPr>
      </w:pPr>
      <w:r>
        <w:rPr>
          <w:rFonts w:hint="eastAsia" w:ascii="宋体" w:hAnsi="宋体" w:eastAsia="宋体" w:cs="宋体"/>
          <w:b w:val="0"/>
          <w:color w:val="auto"/>
          <w:sz w:val="24"/>
          <w:szCs w:val="24"/>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auto"/>
          <w:sz w:val="24"/>
          <w:szCs w:val="24"/>
          <w:highlight w:val="none"/>
        </w:rPr>
        <w:t xml:space="preserve">本项目</w:t>
      </w:r>
      <w:r>
        <w:rPr>
          <w:rFonts w:hint="eastAsia" w:ascii="宋体" w:hAnsi="宋体" w:eastAsia="宋体" w:cs="Times New Roman"/>
          <w:b/>
          <w:bCs/>
          <w:color w:val="auto"/>
          <w:sz w:val="24"/>
          <w:szCs w:val="24"/>
          <w:highlight w:val="none"/>
          <w:lang w:eastAsia="zh-CN"/>
        </w:rPr>
        <w:t xml:space="preserve">不</w:t>
      </w:r>
      <w:r>
        <w:rPr>
          <w:rFonts w:hint="eastAsia" w:ascii="宋体" w:hAnsi="宋体" w:eastAsia="宋体" w:cs="Times New Roman"/>
          <w:b/>
          <w:color w:val="auto"/>
          <w:sz w:val="24"/>
          <w:szCs w:val="24"/>
          <w:highlight w:val="none"/>
        </w:rPr>
        <w:t xml:space="preserve">接受进口产品</w:t>
      </w:r>
      <w:r>
        <w:rPr>
          <w:rFonts w:hint="eastAsia" w:ascii="宋体" w:hAnsi="宋体" w:eastAsia="宋体" w:cs="Times New Roman"/>
          <w:color w:val="auto"/>
          <w:sz w:val="24"/>
          <w:szCs w:val="24"/>
          <w:highlight w:val="none"/>
        </w:rPr>
        <w:t xml:space="preserve">（进口产品是指通过中国海关报关验放进入中国境内且产自关境外的产品），中标后不允许分包或转包。</w:t>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pStyle w:val="726"/>
        <w:numPr>
          <w:ilvl w:val="0"/>
          <w:numId w:val="0"/>
        </w:numPr>
        <w:ind w:firstLine="723"/>
        <w:jc w:val="center"/>
        <w:rPr>
          <w:b w:val="0"/>
          <w:color w:val="auto"/>
          <w:highlight w:val="none"/>
        </w:rPr>
      </w:pPr>
      <w:r>
        <w:rPr>
          <w:rFonts w:hint="eastAsia" w:hAnsi="宋体"/>
          <w:color w:val="auto"/>
          <w:highlight w:val="none"/>
        </w:rPr>
        <w:t xml:space="preserve">第三章政府采购合同格式</w:t>
      </w:r>
      <w:bookmarkEnd w:id="7"/>
      <w:r/>
      <w:bookmarkEnd w:id="8"/>
      <w:r/>
      <w:bookmarkEnd w:id="9"/>
      <w:r/>
      <w:bookmarkEnd w:id="10"/>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2078"/>
        <w:spacing w:line="360" w:lineRule="auto"/>
        <w:rPr>
          <w:rFonts w:ascii="宋体" w:hAnsi="宋体" w:eastAsia="宋体" w:cs="Times New Roman"/>
          <w:b/>
          <w:bCs/>
          <w:color w:val="auto"/>
          <w:sz w:val="52"/>
          <w:szCs w:val="24"/>
          <w:highlight w:val="none"/>
        </w:rPr>
      </w:pPr>
      <w:r>
        <w:rPr>
          <w:rFonts w:hint="eastAsia" w:ascii="宋体" w:hAnsi="宋体" w:eastAsia="宋体" w:cs="Times New Roman"/>
          <w:b/>
          <w:bCs/>
          <w:color w:val="auto"/>
          <w:sz w:val="52"/>
          <w:szCs w:val="24"/>
          <w:highlight w:val="none"/>
        </w:rPr>
        <w:t xml:space="preserve">连 云 港 市 政 府 采 购</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883"/>
        <w:jc w:val="center"/>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合同</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1802"/>
        <w:spacing w:line="360" w:lineRule="auto"/>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 xml:space="preserve">合同编号：</w:t>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采购人：</w:t>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中标人：</w:t>
      </w:r>
      <w:r/>
    </w:p>
    <w:p>
      <w:pPr>
        <w:jc w:val="center"/>
        <w:spacing w:line="560" w:lineRule="exact"/>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jc w:val="center"/>
        <w:spacing w:line="560" w:lineRule="exact"/>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jc w:val="center"/>
        <w:spacing w:line="560" w:lineRule="exact"/>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jc w:val="center"/>
        <w:spacing w:line="560" w:lineRule="exact"/>
        <w:rPr>
          <w:rFonts w:hint="default" w:ascii="黑体" w:hAnsi="黑体" w:eastAsia="黑体" w:cs="Times New Roman"/>
          <w:bCs/>
          <w:color w:val="auto"/>
          <w:sz w:val="44"/>
          <w:szCs w:val="44"/>
          <w:highlight w:val="none"/>
        </w:rPr>
      </w:pPr>
      <w:r>
        <w:rPr>
          <w:rFonts w:hint="eastAsia" w:ascii="Times New Roman" w:hAnsi="Times New Roman" w:eastAsia="宋体" w:cs="Times New Roman"/>
          <w:b/>
          <w:color w:val="auto"/>
          <w:sz w:val="44"/>
          <w:szCs w:val="44"/>
          <w:highlight w:val="none"/>
        </w:rPr>
        <w:t xml:space="preserve">连云港市</w:t>
      </w:r>
      <w:r>
        <w:rPr>
          <w:rFonts w:hint="eastAsia" w:ascii="Times New Roman" w:hAnsi="Times New Roman" w:eastAsia="宋体" w:cs="Times New Roman"/>
          <w:b/>
          <w:color w:val="auto"/>
          <w:sz w:val="44"/>
          <w:szCs w:val="44"/>
          <w:highlight w:val="none"/>
          <w:lang w:val="en-US" w:eastAsia="zh-CN"/>
        </w:rPr>
        <w:t xml:space="preserve">中医院设备</w:t>
      </w:r>
      <w:r>
        <w:rPr>
          <w:rFonts w:hint="eastAsia" w:ascii="Times New Roman" w:hAnsi="Times New Roman" w:eastAsia="宋体" w:cs="Times New Roman"/>
          <w:b/>
          <w:color w:val="auto"/>
          <w:sz w:val="44"/>
          <w:szCs w:val="44"/>
          <w:highlight w:val="none"/>
        </w:rPr>
        <w:t xml:space="preserve">采购合同</w:t>
      </w:r>
      <w:r/>
    </w:p>
    <w:p>
      <w:pPr>
        <w:ind w:firstLine="643"/>
        <w:jc w:val="center"/>
        <w:spacing w:line="360" w:lineRule="auto"/>
        <w:rPr>
          <w:rFonts w:hint="default" w:ascii="宋体" w:hAnsi="宋体" w:eastAsia="宋体" w:cs="Times New Roman"/>
          <w:b/>
          <w:color w:val="auto"/>
          <w:sz w:val="32"/>
          <w:szCs w:val="20"/>
          <w:highlight w:val="none"/>
        </w:rPr>
      </w:pPr>
      <w:r>
        <w:rPr>
          <w:rFonts w:hint="default" w:ascii="宋体" w:hAnsi="宋体" w:eastAsia="宋体" w:cs="Times New Roman"/>
          <w:b/>
          <w:color w:val="auto"/>
          <w:sz w:val="32"/>
          <w:szCs w:val="20"/>
          <w:highlight w:val="none"/>
        </w:rPr>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连云港市中医院</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甲方委托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就</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设备对外公开招标（标段编号：</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）。经过专家评审，确定乙方为中标单位。为规范甲乙双方权利与义务，特订立本合同。</w:t>
      </w:r>
      <w:r/>
    </w:p>
    <w:p>
      <w:pPr>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一、设备名称、型号、数量和价格</w:t>
      </w:r>
      <w:r/>
    </w:p>
    <w:tbl>
      <w:tblPr>
        <w:tblStyle w:val="736"/>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6"/>
        <w:gridCol w:w="1910"/>
        <w:gridCol w:w="1480"/>
        <w:gridCol w:w="1410"/>
        <w:gridCol w:w="640"/>
        <w:gridCol w:w="650"/>
        <w:gridCol w:w="1290"/>
        <w:gridCol w:w="1175"/>
      </w:tblGrid>
      <w:tr>
        <w:trPr>
          <w:jc w:val="center"/>
          <w:trHeight w:val="505"/>
        </w:trPr>
        <w:tc>
          <w:tcPr>
            <w:tcW w:w="1486"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1910"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1480"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注册证号</w:t>
            </w:r>
            <w:r/>
          </w:p>
        </w:tc>
        <w:tc>
          <w:tcPr>
            <w:tcW w:w="1410"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640"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650"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290" w:type="dxa"/>
            <w:vAlign w:val="center"/>
            <w:textDirection w:val="lrTb"/>
            <w:noWrap w:val="false"/>
          </w:tcPr>
          <w:p>
            <w:pPr>
              <w:jc w:val="center"/>
              <w:widowControl/>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单价（元）</w:t>
            </w:r>
            <w:r/>
          </w:p>
        </w:tc>
        <w:tc>
          <w:tcPr>
            <w:tcW w:w="1175"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金额（元）</w:t>
            </w:r>
            <w:r/>
          </w:p>
        </w:tc>
      </w:tr>
      <w:tr>
        <w:trPr>
          <w:jc w:val="center"/>
          <w:trHeight w:val="774"/>
        </w:trPr>
        <w:tc>
          <w:tcPr>
            <w:tcW w:w="14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0"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W w:w="64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17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90"/>
        </w:trPr>
        <w:tc>
          <w:tcPr>
            <w:gridSpan w:val="6"/>
            <w:tcW w:w="7576" w:type="dxa"/>
            <w:vAlign w:val="bottom"/>
            <w:textDirection w:val="lrTb"/>
            <w:noWrap w:val="false"/>
          </w:tcPr>
          <w:p>
            <w:pPr>
              <w:widowControl/>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总计（大写）：人民币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整</w:t>
            </w:r>
            <w:r/>
          </w:p>
        </w:tc>
        <w:tc>
          <w:tcPr>
            <w:gridSpan w:val="2"/>
            <w:tcW w:w="2465" w:type="dxa"/>
            <w:vAlign w:val="bottom"/>
            <w:textDirection w:val="lrTb"/>
            <w:noWrap w:val="false"/>
          </w:tcPr>
          <w:p>
            <w:pP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元</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合同价款已包含货物生产（含所有配件、备品备件、专用工具等）、包装、运输（运抵现场）、保险、检测检验、安装、管理费、产品保护、技术服务、税金、利润、相关部门验收、不可预见及其他相关所有费用，直至交付甲方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二、设备配置清单见附件。</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三、付款方式：</w:t>
      </w:r>
      <w:r>
        <w:rPr>
          <w:rFonts w:hint="eastAsia" w:ascii="宋体" w:hAnsi="宋体" w:eastAsia="宋体" w:cs="宋体"/>
          <w:color w:val="auto"/>
          <w:sz w:val="24"/>
          <w:szCs w:val="24"/>
          <w:highlight w:val="none"/>
        </w:rPr>
        <w:t xml:space="preserve">到货后中标人负责安装、调试。验收合格后，中标人提供免费保修证明，中标人应向采购人出具符合采购人要求的发票，采购人付款100%。</w:t>
      </w:r>
      <w:r>
        <w:rPr>
          <w:rFonts w:hint="eastAsia" w:cs="宋体" w:asciiTheme="minorEastAsia" w:hAnsiTheme="minorEastAsia"/>
          <w:color w:val="auto"/>
          <w:sz w:val="24"/>
          <w:szCs w:val="24"/>
          <w:highlight w:val="none"/>
        </w:rPr>
        <w:t xml:space="preserve">采购人付款前，中标人应向采购人出具符合采购人要求的发票。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四、交货期：乙方应在本合同生效之日起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天之内将货物运抵甲方指定地点。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五、交货地点：</w:t>
      </w:r>
      <w:r>
        <w:rPr>
          <w:rFonts w:hint="eastAsia" w:ascii="宋体" w:hAnsi="宋体" w:eastAsia="宋体" w:cs="宋体"/>
          <w:bCs/>
          <w:color w:val="auto"/>
          <w:sz w:val="24"/>
          <w:szCs w:val="24"/>
          <w:highlight w:val="none"/>
          <w:lang w:eastAsia="zh-CN"/>
        </w:rPr>
        <w:t xml:space="preserve">连云港市中医院</w:t>
      </w:r>
      <w:r>
        <w:rPr>
          <w:rFonts w:hint="eastAsia" w:ascii="宋体" w:hAnsi="宋体" w:eastAsia="宋体" w:cs="宋体"/>
          <w:bCs/>
          <w:color w:val="auto"/>
          <w:sz w:val="24"/>
          <w:szCs w:val="24"/>
          <w:highlight w:val="none"/>
        </w:rPr>
        <w:t xml:space="preserve">指定院区。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六、质保期：上述设备提供免费原厂全保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年，自甲方正式验收合格之日起计算。在质保期内，乙方需对所提供的货物定期检查和保养，并且保证每年上门检修、保养一次，不再向甲方收取费用。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七、资质、质量要求及技术标准</w:t>
      </w:r>
      <w:r/>
    </w:p>
    <w:p>
      <w:pPr>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1．特别提醒条款：</w:t>
      </w:r>
      <w:r>
        <w:rPr>
          <w:rFonts w:hint="eastAsia" w:ascii="宋体" w:hAnsi="宋体" w:eastAsia="宋体" w:cs="宋体"/>
          <w:bCs/>
          <w:color w:val="auto"/>
          <w:sz w:val="24"/>
          <w:szCs w:val="24"/>
          <w:highlight w:val="none"/>
        </w:rPr>
        <w:t xml:space="preserve">a、乙方所提供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即由此引起的一切责任由乙方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保证向甲方提供的设备满足中国国家最新颁布标准或相关行业标准。若国家没有新颁布的标准及规范为准，则应行业内公认的最新标准执行。根据国家规定，如需要提供3C认证证书和标记的设备及有关配置，必须提供上述证书和标记。</w:t>
      </w:r>
      <w:r/>
    </w:p>
    <w:p>
      <w:pPr>
        <w:ind w:firstLine="480"/>
        <w:spacing w:line="360" w:lineRule="auto"/>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3．乙方保证所供设备为全新、未使用过的原装正品，生产日期在合同签订之日</w:t>
      </w:r>
      <w:r>
        <w:rPr>
          <w:rFonts w:hint="eastAsia" w:ascii="宋体" w:hAnsi="宋体" w:eastAsia="宋体" w:cs="宋体"/>
          <w:color w:val="auto"/>
          <w:sz w:val="24"/>
          <w:szCs w:val="24"/>
          <w:highlight w:val="none"/>
          <w:lang w:eastAsia="zh-CN"/>
        </w:rPr>
        <w:t xml:space="preserve">六个月</w:t>
      </w:r>
      <w:r>
        <w:rPr>
          <w:rFonts w:hint="eastAsia" w:ascii="宋体" w:hAnsi="宋体" w:eastAsia="宋体" w:cs="宋体"/>
          <w:color w:val="auto"/>
          <w:sz w:val="24"/>
          <w:szCs w:val="24"/>
          <w:highlight w:val="none"/>
        </w:rPr>
        <w:t xml:space="preserve">以内，并严格保持原包装，否则甲方有权拒收或要求更换，造成的一切损失由乙方负全部责任。</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八、设备到货、安装和验收要求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1．设备到货时间，乙方应提前一周通知甲方，以便甲方安排好接收工作。设备到货后，甲方及时通知乙方，乙方接到通知一周内到达现场，负责设备的免费安装和调试。设备安装时，乙方必须事先与甲方的</w:t>
      </w:r>
      <w:r>
        <w:rPr>
          <w:rFonts w:hint="eastAsia" w:ascii="宋体" w:hAnsi="宋体" w:eastAsia="宋体" w:cs="宋体"/>
          <w:color w:val="auto"/>
          <w:sz w:val="24"/>
          <w:szCs w:val="24"/>
          <w:highlight w:val="none"/>
          <w:lang w:eastAsia="zh-CN"/>
        </w:rPr>
        <w:t xml:space="preserve">设备处</w:t>
      </w:r>
      <w:r>
        <w:rPr>
          <w:rFonts w:hint="eastAsia" w:ascii="宋体" w:hAnsi="宋体" w:eastAsia="宋体" w:cs="宋体"/>
          <w:color w:val="auto"/>
          <w:sz w:val="24"/>
          <w:szCs w:val="24"/>
          <w:highlight w:val="none"/>
        </w:rPr>
        <w:t xml:space="preserve">部联系，并与</w:t>
      </w:r>
      <w:r>
        <w:rPr>
          <w:rFonts w:hint="eastAsia" w:ascii="宋体" w:hAnsi="宋体" w:eastAsia="宋体" w:cs="宋体"/>
          <w:color w:val="auto"/>
          <w:sz w:val="24"/>
          <w:szCs w:val="24"/>
          <w:highlight w:val="none"/>
          <w:lang w:eastAsia="zh-CN"/>
        </w:rPr>
        <w:t xml:space="preserve">设备处</w:t>
      </w:r>
      <w:r>
        <w:rPr>
          <w:rFonts w:hint="eastAsia" w:ascii="宋体" w:hAnsi="宋体" w:eastAsia="宋体" w:cs="宋体"/>
          <w:color w:val="auto"/>
          <w:sz w:val="24"/>
          <w:szCs w:val="24"/>
          <w:highlight w:val="none"/>
        </w:rPr>
        <w:t xml:space="preserve">共同参与，并按照甲方要求提供验收所需资料，否则引起的一切责任由乙方承担。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3．设备安装、调试结束后，甲方对设备试用后进行验收（时间由甲、乙双方商定），</w:t>
      </w:r>
      <w:r>
        <w:rPr>
          <w:rFonts w:hint="eastAsia" w:ascii="宋体" w:hAnsi="宋体" w:eastAsia="宋体" w:cs="宋体"/>
          <w:color w:val="auto"/>
          <w:sz w:val="24"/>
          <w:szCs w:val="24"/>
          <w:highlight w:val="none"/>
          <w:lang w:eastAsia="zh-CN"/>
        </w:rPr>
        <w:t xml:space="preserve">甲方根据招标文件中的参数逐条验收，若不能完全满足参数要求，</w:t>
      </w:r>
      <w:r>
        <w:rPr>
          <w:rFonts w:hint="eastAsia" w:ascii="宋体" w:hAnsi="宋体" w:eastAsia="宋体" w:cs="宋体"/>
          <w:color w:val="auto"/>
          <w:sz w:val="24"/>
          <w:szCs w:val="24"/>
          <w:highlight w:val="none"/>
        </w:rPr>
        <w:t xml:space="preserve">甲方有权退回所采购的设备</w:t>
      </w:r>
      <w:r>
        <w:rPr>
          <w:rFonts w:hint="eastAsia" w:ascii="宋体" w:hAnsi="宋体" w:eastAsia="宋体" w:cs="宋体"/>
          <w:color w:val="auto"/>
          <w:sz w:val="24"/>
          <w:szCs w:val="24"/>
          <w:highlight w:val="none"/>
          <w:lang w:eastAsia="zh-CN"/>
        </w:rPr>
        <w:t xml:space="preserve">并让乙方承担甲方损失。</w:t>
      </w:r>
      <w:r>
        <w:rPr>
          <w:rFonts w:hint="eastAsia" w:ascii="宋体" w:hAnsi="宋体" w:eastAsia="宋体" w:cs="宋体"/>
          <w:color w:val="auto"/>
          <w:sz w:val="24"/>
          <w:szCs w:val="24"/>
          <w:highlight w:val="none"/>
        </w:rPr>
        <w:t xml:space="preserve">乙方免费派工程师到达现场协助验收工作。</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乙方确保设备安装调试后须具备正常运行所需的所有条件，即为交钥匙项目。</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5．保修期自甲方书面验收合格之日算起，保修期外只收配件费，免收人工费等一切费用。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设备有专机专用耗材（指该耗材无法被其他品牌耗材代替）需在本协议中体现，并保证在设备安装验收合格并投入使用后不再有新增专机专用耗材需引进，否则甲方有权退回所采购的设备并要求乙方退还所有已支付采购货款。</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九、技术培训</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①现场技术培训：在安装过程中或安装结束后，乙方工程师或有关人员有义务免费对甲方工程师和操作人员进行现场维修、保养、操作培训，解答甲方人员提出的问题。</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②正规培训班培训：/。</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十、售后服务要求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1．确保设备保修期内开机率为9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%，如设备故障停机率超过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%（一年按365天计算，每年</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天），每超过一天（一天并不意味24小时停机，只要当日发生停机事件，即视为停机一天），保修期延长两周，超过10天，乙方应向甲方每天支付合同金额1%的违约金。</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2．如设备发生故障，乙方在接到甲方报修电话后30分钟内予以响应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24小时</w:t>
      </w:r>
      <w:r>
        <w:rPr>
          <w:rFonts w:hint="eastAsia" w:ascii="宋体" w:hAnsi="宋体" w:eastAsia="宋体" w:cs="宋体"/>
          <w:color w:val="auto"/>
          <w:sz w:val="24"/>
          <w:szCs w:val="24"/>
          <w:highlight w:val="none"/>
        </w:rPr>
        <w:t xml:space="preserve">上门维修，否则甲方可自行采取必要的措施，由此产生的风险和费用由乙方承担。如遇特殊情况，乙方承诺无法现场解决问题，乙方需提供备机服务保障正常工作。</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3．无论在保修期内还是保修期外，乙方必须上门维修，乙方工程师来甲方维修本设备，必须事先与甲方</w:t>
      </w:r>
      <w:r>
        <w:rPr>
          <w:rFonts w:hint="eastAsia" w:ascii="宋体" w:hAnsi="宋体" w:eastAsia="宋体" w:cs="宋体"/>
          <w:color w:val="auto"/>
          <w:sz w:val="24"/>
          <w:szCs w:val="24"/>
          <w:highlight w:val="none"/>
          <w:lang w:eastAsia="zh-CN"/>
        </w:rPr>
        <w:t xml:space="preserve">设备处</w:t>
      </w:r>
      <w:r>
        <w:rPr>
          <w:rFonts w:hint="eastAsia" w:ascii="宋体" w:hAnsi="宋体" w:eastAsia="宋体" w:cs="宋体"/>
          <w:color w:val="auto"/>
          <w:sz w:val="24"/>
          <w:szCs w:val="24"/>
          <w:highlight w:val="none"/>
        </w:rPr>
        <w:t xml:space="preserve">取得联系；在维修过程中与甲方工程师共同完成维修工作。否则由此引起的一切责任由乙方负责。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4．乙方免费提供全套技术资料（维修说明书包括详细电路图、操作说明书及光盘等），如技术资料不全，甲方有权不支付货款。</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十一、专利权和货物相关的更改要求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2、乙方保证所交付的货物的所有权完全属于乙方且无任何抵押、查封等产权瑕疵。如乙方所交货物有产权瑕疵的，视为乙方违约，按照本合同第十二条第</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款的约定处理。但在已经全部支付完合同款后才发现有产权瑕疵的，除了支付违约金，乙方还应负担由此而产生的一切损失。</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甲方就部分货物及其功能做修改时，乙方应予以充分配合。</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4、在合同执行过程中，如果国家相应的技术规范作出调整，或货物的技术有了较大的更新，乙方应免费更换所供货物的相应部件。</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十二、违约责任</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、如乙方不能交付货物，乙方应向甲方支付合同总价5%违约金。</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、乙方逾期交付货物的，每逾期1天，乙方向甲方偿付逾期交货部分货款总额的万分之三的滞纳金。如乙方逾期交货达10天，甲方有权解除合同，合同自通知到达乙方时解除。</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、乙方所交付的货物品种、型号、规格等不符合合同规定的，甲方有权拒收。甲方拒收的，乙方应向甲方支付合同货款总额5%的违约金。</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、乙方所供设备如验收不合格，根据甲方的要求，乙方必须在甲方规定的时间内无条件换货或退货，由此引起的一切损失由乙方承担。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、乙方未按本合同的规定和“服务承诺”提供伴随服务/售后服务的，应按合同总价款的10%向甲方承担违约责任,同时将依法向上级招投标机构要求给予乙方列入黑名单的处罚，并保留追究相关法律责任的权利。</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十三、合同的变更和终止</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（一）合同变更</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1、如因国家相关法律、法规及国家政策发生变化，需变更本合同的，则双方应对相关条款进行依法变更；</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（二）合同终止</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出现下列情况之一的，合同将终止：</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1、合同履行完毕、权利义务关系消灭的；</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2、国家法律、法规、条例进行调整，禁止本合同延续的；或合同一方被国家执法机关处罚、查封关闭的；</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3、一方严重违约（如乙方逾期供货、质量低下导致甲方使用中存在安全风险，以及可能会造成甲方其他严重后果）的；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4、发生严重纠纷、事故，影响医疗秩序的或存在严重纠纷、医疗事故隐患的，以及其他严重影响医院声誉情况的；</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5、其他国家法律、法规规定的或经双方共同认可的其他可终止合同情况。</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十四、争议的解决</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货物的质量问题发生争议的，应当邀请国家认可的质量检测机构对货物质量进行鉴定。货物符合标准的，鉴定费由甲方承担；货物不符合标准的，鉴定费用由乙方承担、更换有问题商品或部件、乙方应全额赔偿甲方的损失包括但不限于甲方因此支付的律师费、诉讼费、交通费等一切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2、因履行本合同引起的或与本合同有关的争议，甲、乙双方应首先通过友好协商解决，如果协商不能解决争议，向甲方所在地人民法院提起诉讼。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十五、其他约定：设备出保后全保费用为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，甲方可自主选择是否由乙方维保，若选择乙方维保，则此维保价格在免费质保期后3年内不得变更。 配套耗材若被纳入省级阳光平台采购，需终止现有条款，按阳光平台要求另行商谈和采购，配套耗材为：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36"/>
        <w:tblW w:w="0" w:type="auto"/>
        <w:jc w:val="center"/>
        <w:tblLayout w:type="fixed"/>
        <w:tblCellMar>
          <w:left w:w="15" w:type="dxa"/>
          <w:top w:w="15" w:type="dxa"/>
          <w:right w:w="15" w:type="dxa"/>
          <w:bottom w:w="15" w:type="dxa"/>
        </w:tblCellMar>
        <w:tblLook w:val="04A0" w:firstRow="1" w:lastRow="0" w:firstColumn="1" w:lastColumn="0" w:noHBand="0" w:noVBand="1"/>
      </w:tblPr>
      <w:tblGrid>
        <w:gridCol w:w="596"/>
        <w:gridCol w:w="1764"/>
        <w:gridCol w:w="1640"/>
        <w:gridCol w:w="1589"/>
        <w:gridCol w:w="1320"/>
        <w:gridCol w:w="925"/>
        <w:gridCol w:w="1604"/>
      </w:tblGrid>
      <w:tr>
        <w:trPr>
          <w:jc w:val="center"/>
          <w:trHeight w:val="339"/>
        </w:trPr>
        <w:tc>
          <w:tcPr>
            <w:tcBorders>
              <w:top w:val="single" w:color="000000" w:sz="4" w:space="0"/>
              <w:left w:val="single" w:color="000000" w:sz="4" w:space="0"/>
              <w:bottom w:val="single" w:color="auto" w:sz="4" w:space="0"/>
              <w:right w:val="single" w:color="000000" w:sz="4" w:space="0"/>
            </w:tcBorders>
            <w:tcW w:w="596"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auto" w:sz="4" w:space="0"/>
              <w:right w:val="single" w:color="000000" w:sz="4" w:space="0"/>
            </w:tcBorders>
            <w:tcW w:w="1764"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生产企业</w:t>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注册证编号</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供货单价（元）</w:t>
            </w:r>
            <w:r/>
          </w:p>
        </w:tc>
      </w:tr>
      <w:tr>
        <w:trPr>
          <w:jc w:val="center"/>
          <w:trHeight w:val="395"/>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firstLine="240"/>
              <w:jc w:val="both"/>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tcPr>
          <w:p>
            <w:pPr>
              <w:ind w:firstLine="480"/>
              <w:jc w:val="cente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640" w:type="dxa"/>
            <w:vAlign w:val="center"/>
            <w:textDirection w:val="lrTb"/>
            <w:noWrap/>
          </w:tcPr>
          <w:p>
            <w:pPr>
              <w:ind w:firstLine="480"/>
              <w:jc w:val="cente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ind w:firstLine="480"/>
              <w:jc w:val="cente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ind w:firstLine="480"/>
              <w:jc w:val="cente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firstLine="480"/>
              <w:jc w:val="cente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ind w:firstLine="480"/>
              <w:jc w:val="cente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bl>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十六、合同生效</w:t>
      </w:r>
      <w:r/>
    </w:p>
    <w:p>
      <w:pPr>
        <w:ind w:firstLine="480"/>
        <w:spacing w:line="360" w:lineRule="auto"/>
        <w:rPr>
          <w:rFonts w:hint="default" w:ascii="宋体" w:hAnsi="宋体" w:eastAsia="宋体" w:cs="宋体"/>
          <w:color w:val="auto"/>
          <w:sz w:val="24"/>
          <w:szCs w:val="24"/>
          <w:highlight w:val="none"/>
        </w:rPr>
      </w:pPr>
      <w:r>
        <w:rPr>
          <w:rFonts w:hint="eastAsia" w:ascii="宋体" w:hAnsi="Times New Roman" w:eastAsia="宋体" w:cs="Times New Roman"/>
          <w:color w:val="auto"/>
          <w:sz w:val="24"/>
          <w:szCs w:val="24"/>
          <w:highlight w:val="none"/>
        </w:rPr>
        <w:t xml:space="preserve">本合同和招、投标文件及承诺书，内容互补，</w:t>
      </w:r>
      <w:r>
        <w:rPr>
          <w:rFonts w:hint="eastAsia" w:ascii="宋体" w:hAnsi="宋体" w:eastAsia="宋体" w:cs="宋体"/>
          <w:color w:val="auto"/>
          <w:sz w:val="24"/>
          <w:szCs w:val="24"/>
          <w:highlight w:val="none"/>
        </w:rPr>
        <w:t xml:space="preserve">具有同等法律效力，应按照中华人民共和国的现行法律进行解释。合同一式肆份，甲方叁份、乙方壹份，自双方签字盖章后生效。</w:t>
      </w:r>
      <w:r/>
    </w:p>
    <w:p>
      <w:pPr>
        <w:spacing w:line="360" w:lineRule="auto"/>
        <w:rPr>
          <w:rFonts w:hint="default" w:ascii="宋体" w:hAnsi="宋体" w:eastAsia="宋体" w:cs="宋体"/>
          <w:color w:val="auto"/>
          <w:sz w:val="18"/>
          <w:szCs w:val="18"/>
          <w:highlight w:val="none"/>
        </w:rPr>
      </w:pPr>
      <w:r>
        <w:rPr>
          <w:rFonts w:hint="default" w:ascii="宋体" w:hAnsi="宋体" w:eastAsia="宋体" w:cs="宋体"/>
          <w:color w:val="auto"/>
          <w:sz w:val="18"/>
          <w:szCs w:val="18"/>
          <w:highlight w:val="none"/>
        </w:rPr>
      </w:r>
      <w:r/>
    </w:p>
    <w:p>
      <w:pP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val="en-US" w:eastAsia="zh-CN"/>
        </w:rPr>
        <w:t xml:space="preserve">连云港市中医院</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w:t>
      </w:r>
      <w:r>
        <w:rPr>
          <w:rFonts w:hint="eastAsia" w:ascii="宋体" w:hAnsi="宋体" w:eastAsia="宋体" w:cs="Times New Roman"/>
          <w:color w:val="auto"/>
          <w:sz w:val="24"/>
          <w:szCs w:val="24"/>
          <w:highlight w:val="none"/>
        </w:rPr>
        <w:t xml:space="preserve">连云港市海州区朝阳中路160号</w:t>
      </w:r>
      <w:r>
        <w:rPr>
          <w:rFonts w:hint="eastAsia" w:ascii="宋体" w:hAnsi="宋体" w:eastAsia="宋体" w:cs="宋体"/>
          <w:b w:val="0"/>
          <w:bCs/>
          <w:color w:val="auto"/>
          <w:sz w:val="24"/>
          <w:szCs w:val="24"/>
          <w:highlight w:val="none"/>
        </w:rPr>
        <w:t xml:space="preserve">        地址：</w:t>
      </w:r>
      <w:r/>
    </w:p>
    <w:p>
      <w:pP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电话：</w:t>
      </w:r>
      <w:r>
        <w:rPr>
          <w:rFonts w:hint="eastAsia" w:ascii="宋体" w:hAnsi="宋体" w:eastAsia="宋体" w:cs="Times New Roman"/>
          <w:color w:val="auto"/>
          <w:sz w:val="24"/>
          <w:szCs w:val="24"/>
          <w:highlight w:val="none"/>
        </w:rPr>
        <w:t xml:space="preserve"> </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电话：</w:t>
      </w:r>
      <w:r/>
    </w:p>
    <w:p>
      <w:pPr>
        <w:spacing w:line="600"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授权代表：                                授权代表：</w:t>
      </w:r>
      <w:r/>
    </w:p>
    <w:p>
      <w:pPr>
        <w:spacing w:line="360" w:lineRule="auto"/>
        <w:tabs>
          <w:tab w:val="left" w:pos="5250" w:leader="none"/>
        </w:tabs>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    期：</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月</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日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日    期：</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年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月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日</w:t>
      </w:r>
      <w:r/>
    </w:p>
    <w:p>
      <w:pPr>
        <w:spacing w:line="360" w:lineRule="auto"/>
        <w:rPr>
          <w:rFonts w:cs="宋体" w:asciiTheme="minorEastAsia" w:hAnsiTheme="minorEastAsia"/>
          <w:b/>
          <w:color w:val="auto"/>
          <w:sz w:val="24"/>
          <w:szCs w:val="24"/>
          <w:highlight w:val="none"/>
        </w:rPr>
      </w:pPr>
      <w:r>
        <w:rPr>
          <w:rFonts w:cs="宋体" w:asciiTheme="minorEastAsia" w:hAnsiTheme="minorEastAsia"/>
          <w:b/>
          <w:color w:val="auto"/>
          <w:sz w:val="24"/>
          <w:szCs w:val="24"/>
          <w:highlight w:val="none"/>
        </w:rPr>
      </w:r>
      <w:r/>
    </w:p>
    <w:p>
      <w:pPr>
        <w:jc w:val="left"/>
        <w:spacing w:line="360" w:lineRule="auto"/>
        <w:rPr>
          <w:rFonts w:cs="宋体" w:asciiTheme="minorEastAsia" w:hAnsiTheme="minorEastAsia"/>
          <w:b/>
          <w:color w:val="auto"/>
          <w:sz w:val="24"/>
          <w:szCs w:val="24"/>
          <w:highlight w:val="none"/>
        </w:rPr>
      </w:pPr>
      <w:r>
        <w:rPr>
          <w:rFonts w:cs="宋体" w:asciiTheme="minorEastAsia" w:hAnsiTheme="minorEastAsia"/>
          <w:b/>
          <w:color w:val="auto"/>
          <w:sz w:val="24"/>
          <w:szCs w:val="24"/>
          <w:highlight w:val="none"/>
        </w:rPr>
      </w:r>
      <w:r/>
    </w:p>
    <w:p>
      <w:pPr>
        <w:pStyle w:val="726"/>
        <w:numPr>
          <w:ilvl w:val="0"/>
          <w:numId w:val="0"/>
        </w:numPr>
        <w:rPr>
          <w:rFonts w:ascii="宋体" w:hAnsi="宋体" w:eastAsia="宋体"/>
          <w:color w:val="auto"/>
          <w:sz w:val="24"/>
          <w:szCs w:val="24"/>
          <w:highlight w:val="none"/>
        </w:rPr>
      </w:pPr>
      <w:r>
        <w:rPr>
          <w:rFonts w:hAnsi="宋体"/>
          <w:color w:val="auto"/>
          <w:szCs w:val="24"/>
          <w:highlight w:val="none"/>
        </w:rPr>
        <w:br w:type="page" w:clear="all"/>
      </w:r>
      <w:bookmarkStart w:id="11" w:name="_Toc150765437"/>
      <w:r/>
      <w:bookmarkStart w:id="12" w:name="_Toc139966428"/>
      <w:r/>
      <w:bookmarkStart w:id="13" w:name="_Toc139967212"/>
      <w:r/>
      <w:bookmarkStart w:id="14" w:name="_Toc513622229"/>
      <w:r>
        <w:rPr>
          <w:rFonts w:hint="eastAsia" w:hAnsi="宋体"/>
          <w:color w:val="auto"/>
          <w:highlight w:val="none"/>
        </w:rPr>
        <w:t xml:space="preserve">第四章投标文件格式</w:t>
      </w:r>
      <w:bookmarkEnd w:id="11"/>
      <w:r/>
      <w:bookmarkEnd w:id="12"/>
      <w:r/>
      <w:bookmarkEnd w:id="13"/>
      <w:r/>
      <w:bookmarkEnd w:id="14"/>
      <w:r/>
      <w:r/>
    </w:p>
    <w:p>
      <w:pPr>
        <w:ind w:firstLine="1044"/>
        <w:jc w:val="center"/>
        <w:spacing w:line="360" w:lineRule="auto"/>
        <w:rPr>
          <w:rFonts w:ascii="宋体" w:hAnsi="宋体" w:eastAsia="宋体" w:cs="Times New Roman"/>
          <w:b/>
          <w:color w:val="auto"/>
          <w:sz w:val="52"/>
          <w:szCs w:val="52"/>
          <w:highlight w:val="none"/>
        </w:rPr>
      </w:pPr>
      <w:r>
        <w:rPr>
          <w:rFonts w:ascii="宋体" w:hAnsi="宋体" w:eastAsia="宋体" w:cs="Times New Roman"/>
          <w:b/>
          <w:color w:val="auto"/>
          <w:sz w:val="52"/>
          <w:szCs w:val="52"/>
          <w:highlight w:val="none"/>
        </w:rPr>
      </w:r>
      <w:r/>
    </w:p>
    <w:p>
      <w:pPr>
        <w:jc w:val="center"/>
        <w:spacing w:line="360" w:lineRule="auto"/>
        <w:rPr>
          <w:rFonts w:ascii="宋体" w:hAnsi="宋体" w:eastAsia="宋体" w:cs="Times New Roman"/>
          <w:b/>
          <w:color w:val="auto"/>
          <w:sz w:val="52"/>
          <w:szCs w:val="52"/>
          <w:highlight w:val="none"/>
        </w:rPr>
      </w:pPr>
      <w:r>
        <w:rPr>
          <w:rFonts w:hint="eastAsia" w:ascii="宋体" w:hAnsi="宋体" w:eastAsia="宋体" w:cs="Times New Roman"/>
          <w:b/>
          <w:color w:val="auto"/>
          <w:sz w:val="52"/>
          <w:szCs w:val="52"/>
          <w:highlight w:val="none"/>
        </w:rPr>
        <w:t xml:space="preserve">连 云 港 市 政 府 采 购</w:t>
      </w:r>
      <w:r/>
    </w:p>
    <w:p>
      <w:pPr>
        <w:jc w:val="center"/>
        <w:spacing w:line="360" w:lineRule="auto"/>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投标文件</w:t>
      </w:r>
      <w:r/>
    </w:p>
    <w:p>
      <w:pPr>
        <w:ind w:firstLine="643"/>
        <w:jc w:val="center"/>
        <w:spacing w:line="360" w:lineRule="auto"/>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ind w:firstLine="1084"/>
        <w:spacing w:line="360" w:lineRule="auto"/>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1084"/>
        <w:spacing w:line="360" w:lineRule="auto"/>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标 段 名 称：</w:t>
      </w:r>
      <w:r/>
    </w:p>
    <w:p>
      <w:pPr>
        <w:spacing w:line="360" w:lineRule="auto"/>
        <w:rPr>
          <w:rFonts w:ascii="宋体" w:hAnsi="宋体" w:eastAsia="宋体" w:cs="Times New Roman"/>
          <w:b/>
          <w:color w:val="auto"/>
          <w:sz w:val="36"/>
          <w:szCs w:val="24"/>
          <w:highlight w:val="none"/>
        </w:rPr>
      </w:pPr>
      <w:r>
        <w:rPr>
          <w:rFonts w:ascii="宋体" w:hAnsi="宋体" w:eastAsia="宋体" w:cs="Times New Roman"/>
          <w:b/>
          <w:color w:val="auto"/>
          <w:sz w:val="36"/>
          <w:szCs w:val="24"/>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标 段 编 号：</w:t>
      </w:r>
      <w:r/>
    </w:p>
    <w:p>
      <w:pPr>
        <w:ind w:firstLine="1084"/>
        <w:spacing w:line="360" w:lineRule="auto"/>
        <w:rPr>
          <w:rFonts w:ascii="宋体" w:hAnsi="宋体" w:eastAsia="宋体" w:cs="Times New Roman"/>
          <w:b/>
          <w:color w:val="auto"/>
          <w:sz w:val="36"/>
          <w:szCs w:val="24"/>
          <w:highlight w:val="none"/>
        </w:rPr>
      </w:pPr>
      <w:r>
        <w:rPr>
          <w:rFonts w:ascii="宋体" w:hAnsi="宋体" w:eastAsia="宋体" w:cs="Times New Roman"/>
          <w:b/>
          <w:color w:val="auto"/>
          <w:sz w:val="36"/>
          <w:szCs w:val="24"/>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投标人名称：</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投标人地址： </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法定代表人：</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委托代理人（委托代理时填写）：</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日      期：</w:t>
      </w:r>
      <w:r/>
    </w:p>
    <w:p>
      <w:pPr>
        <w:keepNext/>
        <w:spacing w:line="360" w:lineRule="auto"/>
        <w:rPr>
          <w:rFonts w:ascii="宋体" w:hAnsi="宋体" w:eastAsia="宋体" w:cs="Times New Roman"/>
          <w:color w:val="auto"/>
          <w:sz w:val="24"/>
          <w:szCs w:val="24"/>
          <w:highlight w:val="none"/>
        </w:rPr>
        <w:outlineLvl w:val="1"/>
      </w:pPr>
      <w:r>
        <w:rPr>
          <w:rFonts w:ascii="Times New Roman" w:hAnsi="宋体" w:eastAsia="黑体" w:cs="Times New Roman"/>
          <w:b/>
          <w:color w:val="auto"/>
          <w:sz w:val="36"/>
          <w:szCs w:val="20"/>
          <w:highlight w:val="none"/>
        </w:rPr>
        <w:br w:type="page" w:clear="all"/>
      </w:r>
      <w:bookmarkStart w:id="15" w:name="_Toc139967215"/>
      <w:r/>
      <w:bookmarkStart w:id="16" w:name="_Toc139966431"/>
      <w:r>
        <w:rPr>
          <w:rFonts w:hint="eastAsia" w:ascii="宋体" w:hAnsi="宋体" w:eastAsia="宋体" w:cs="Times New Roman"/>
          <w:color w:val="auto"/>
          <w:sz w:val="24"/>
          <w:szCs w:val="24"/>
          <w:highlight w:val="none"/>
        </w:rPr>
        <w:t xml:space="preserve">格式1、响应函</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响应函</w:t>
      </w:r>
      <w:r/>
    </w:p>
    <w:p>
      <w:pPr>
        <w:spacing w:line="480" w:lineRule="exact"/>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 xml:space="preserve">致：</w:t>
      </w:r>
      <w:r>
        <w:rPr>
          <w:rFonts w:hint="eastAsia" w:ascii="宋体" w:hAnsi="宋体" w:eastAsia="宋体" w:cs="Times New Roman"/>
          <w:color w:val="auto"/>
          <w:szCs w:val="24"/>
          <w:highlight w:val="none"/>
          <w:lang w:eastAsia="zh-CN"/>
        </w:rPr>
        <w:t xml:space="preserve">连云港市中医院</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根据贵方标段（标段编号：）招标文件，正式授权下述签字人全权代表参加贵方组织的采购活动，按照招标文件要求提交响应文件。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据此函，签字人兹宣布同意如下：</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1.按招标文件项目需求提交响应报价，报价、交货期等详见开标一览表。</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2.我方同意在本标段招标文件中规定的响应文件递交截止之日起60天内遵守本响应文件中的承诺且在此期限期满之前均具有约束力。</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3.我方承诺已经具备《中华人民共和国政府采购法》中规定的参加政府采购活动的供应商应当具备的条件：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(1)具有独立承担民事责任的能力；</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(2)具有良好的商业信誉和健全的财务会计制度；</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(3)具有履行合同所必需的设备和专业技术能力；</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(4)有依法缴纳税收和社会保障资金的良好记录；</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(5)参加此项采购活动前三年内，在经营活动中没有重大违法记录。</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4.我方根据招标文件的规定，承担完成合同的责任和义务。</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5.我方已详细审核招标文件，我方知道必须放弃提出含糊不清或误解问题的权利。</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6.如果在响应文件有效期内撤回或者有其他违约行为，我方的保证金可被贵方全部或部分没收。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7.同意应贵方要求提供与本次采购活动有关的任何数据或资料。</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8.我方完全理解，最低报价不是中标（成交）的唯一条件。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9.若贵方需要，我方愿意提供我方作出的一切承诺的证明材料。</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(1)提供虚假材料谋取中标、成交的；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(2)采取不正当手段诋毁、排挤其他供应商的；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(3)与采购人、其他供应商或者采购代理机构恶意串通的；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(4)向采购人、采购代理机构行贿或者提供其他不正当利益的；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(5)在招标采购过程中与采购人进行协商谈判的；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(6)拒绝有关部门监督检查或提供虚假情况的。</w:t>
      </w:r>
      <w:r/>
    </w:p>
    <w:p>
      <w:pPr>
        <w:ind w:firstLine="420"/>
        <w:spacing w:line="480" w:lineRule="exact"/>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法定代表人或其委托代理人签字（或盖章）： 　　</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供应商公章： </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日期： </w:t>
      </w:r>
      <w:r/>
    </w:p>
    <w:p>
      <w:pPr>
        <w:ind w:firstLine="420"/>
        <w:spacing w:line="480" w:lineRule="exact"/>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480" w:lineRule="exact"/>
        <w:rPr>
          <w:rFonts w:ascii="宋体" w:hAnsi="宋体" w:eastAsia="宋体" w:cs="宋体"/>
          <w:color w:val="auto"/>
          <w:sz w:val="36"/>
          <w:szCs w:val="36"/>
          <w:highlight w:val="none"/>
          <w:lang w:val="zh-CN"/>
        </w:rPr>
      </w:pPr>
      <w:r>
        <w:rPr>
          <w:rFonts w:hint="eastAsia" w:ascii="宋体" w:hAnsi="宋体" w:eastAsia="宋体" w:cs="Times New Roman"/>
          <w:color w:val="auto"/>
          <w:szCs w:val="24"/>
          <w:highlight w:val="none"/>
        </w:rPr>
        <w:t xml:space="preserve">注：未按照本响应函的格式要求填写的，将造成非实质响应，从而导致该供应商响应无效。</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格式2、开标一览表</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开标一览表</w:t>
      </w:r>
      <w:r/>
    </w:p>
    <w:p>
      <w:pPr>
        <w:ind w:firstLine="720"/>
        <w:jc w:val="left"/>
        <w:spacing w:line="360" w:lineRule="auto"/>
        <w:rPr>
          <w:rFonts w:hint="default"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rPr>
        <w:t xml:space="preserve">标段编号：</w:t>
      </w:r>
      <w:r>
        <w:rPr>
          <w:rFonts w:hint="eastAsia" w:ascii="宋体" w:hAnsi="宋体" w:eastAsia="宋体" w:cs="方正仿宋_GBK"/>
          <w:color w:val="auto"/>
          <w:sz w:val="24"/>
          <w:szCs w:val="24"/>
          <w:highlight w:val="none"/>
          <w:lang w:val="en-US" w:eastAsia="zh-CN"/>
        </w:rPr>
        <w:t xml:space="preserve"> </w:t>
      </w:r>
      <w:r/>
    </w:p>
    <w:p>
      <w:pPr>
        <w:ind w:firstLine="720"/>
        <w:jc w:val="left"/>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rPr>
        <w:t xml:space="preserve">标段名称：</w:t>
      </w:r>
      <w:r/>
    </w:p>
    <w:p>
      <w:pPr>
        <w:ind w:firstLine="720"/>
        <w:jc w:val="left"/>
        <w:rPr>
          <w:rFonts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 xml:space="preserve">报价单位：元</w:t>
      </w:r>
      <w:r/>
    </w:p>
    <w:tbl>
      <w:tblPr>
        <w:tblStyle w:val="736"/>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标题</w:t>
            </w:r>
            <w:r/>
          </w:p>
        </w:tc>
        <w:tc>
          <w:tcPr>
            <w:tcW w:w="3651" w:type="dxa"/>
            <w:vAlign w:val="center"/>
            <w:textDirection w:val="lrTb"/>
            <w:noWrap w:val="false"/>
          </w:tcPr>
          <w:p>
            <w:pPr>
              <w:jc w:val="center"/>
              <w:spacing w:line="360" w:lineRule="auto"/>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内容</w:t>
            </w:r>
            <w:r/>
          </w:p>
        </w:tc>
      </w:tr>
      <w:tr>
        <w:trPr>
          <w:cantSplit/>
          <w:jc w:val="center"/>
          <w:trHeight w:val="1310"/>
        </w:trPr>
        <w:tc>
          <w:tcPr>
            <w:tcW w:w="3653" w:type="dxa"/>
            <w:vAlign w:val="center"/>
            <w:textDirection w:val="lrTb"/>
            <w:noWrap w:val="false"/>
          </w:tcPr>
          <w:p>
            <w:pPr>
              <w:jc w:val="center"/>
              <w:spacing w:line="360" w:lineRule="auto"/>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投标报价</w:t>
            </w:r>
            <w:r/>
          </w:p>
        </w:tc>
        <w:tc>
          <w:tcPr>
            <w:tcW w:w="3651" w:type="dxa"/>
            <w:vAlign w:val="center"/>
            <w:textDirection w:val="lrTb"/>
            <w:noWrap w:val="false"/>
          </w:tcPr>
          <w:p>
            <w:pPr>
              <w:jc w:val="center"/>
              <w:spacing w:line="360" w:lineRule="auto"/>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Times New Roman"/>
                <w:bCs/>
                <w:color w:val="auto"/>
                <w:sz w:val="28"/>
                <w:szCs w:val="28"/>
                <w:highlight w:val="none"/>
                <w:lang w:eastAsia="zh-CN"/>
              </w:rPr>
            </w:pPr>
            <w:r>
              <w:rPr>
                <w:rFonts w:hint="eastAsia" w:ascii="宋体" w:hAnsi="宋体" w:eastAsia="宋体" w:cs="Times New Roman"/>
                <w:bCs/>
                <w:color w:val="auto"/>
                <w:sz w:val="28"/>
                <w:szCs w:val="28"/>
                <w:highlight w:val="none"/>
                <w:lang w:eastAsia="zh-CN"/>
              </w:rPr>
              <w:t xml:space="preserve">质保期</w:t>
            </w:r>
            <w:r/>
          </w:p>
        </w:tc>
        <w:tc>
          <w:tcPr>
            <w:tcW w:w="3651" w:type="dxa"/>
            <w:vAlign w:val="center"/>
            <w:textDirection w:val="lrTb"/>
            <w:noWrap w:val="false"/>
          </w:tcPr>
          <w:p>
            <w:pPr>
              <w:jc w:val="center"/>
              <w:spacing w:line="360" w:lineRule="auto"/>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tc>
      </w:tr>
    </w:tbl>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法定代表人或委托代理人（签字或盖章）：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日期：年月日</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keepNext/>
        <w:spacing w:line="360" w:lineRule="auto"/>
        <w:rPr>
          <w:rFonts w:ascii="Times New Roman" w:hAnsi="宋体" w:eastAsia="黑体" w:cs="Times New Roman"/>
          <w:color w:val="auto"/>
          <w:sz w:val="32"/>
          <w:szCs w:val="20"/>
          <w:highlight w:val="none"/>
        </w:rPr>
        <w:outlineLvl w:val="1"/>
      </w:pPr>
      <w:r>
        <w:rPr>
          <w:rFonts w:hint="eastAsia" w:ascii="Times New Roman" w:hAnsi="宋体" w:eastAsia="黑体" w:cs="Times New Roman"/>
          <w:color w:val="auto"/>
          <w:sz w:val="32"/>
          <w:szCs w:val="20"/>
          <w:highlight w:val="none"/>
        </w:rPr>
        <w:br w:type="page" w:clear="all"/>
      </w:r>
      <w:r>
        <w:rPr>
          <w:rFonts w:hint="eastAsia" w:ascii="宋体" w:hAnsi="宋体" w:eastAsia="宋体" w:cs="Times New Roman"/>
          <w:color w:val="auto"/>
          <w:sz w:val="24"/>
          <w:szCs w:val="24"/>
          <w:highlight w:val="none"/>
        </w:rPr>
        <w:t xml:space="preserve">格式3、投标产品配置及分项报价表</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投标产品配置及分项报价表</w:t>
      </w:r>
      <w:r/>
    </w:p>
    <w:p>
      <w:pPr>
        <w:jc w:val="left"/>
        <w:spacing w:line="360" w:lineRule="auto"/>
        <w:rPr>
          <w:rFonts w:hint="eastAsia" w:ascii="宋体" w:hAnsi="宋体" w:eastAsia="宋体" w:cs="方正仿宋_GBK"/>
          <w:color w:val="auto"/>
          <w:sz w:val="24"/>
          <w:szCs w:val="24"/>
          <w:highlight w:val="none"/>
          <w:lang w:eastAsia="zh-CN"/>
        </w:rPr>
      </w:pPr>
      <w:r>
        <w:rPr>
          <w:rFonts w:hint="eastAsia" w:ascii="宋体" w:hAnsi="宋体" w:eastAsia="宋体" w:cs="方正仿宋_GBK"/>
          <w:color w:val="auto"/>
          <w:sz w:val="24"/>
          <w:szCs w:val="24"/>
          <w:highlight w:val="none"/>
        </w:rPr>
        <w:t xml:space="preserve">标段名称：</w:t>
      </w:r>
      <w:r>
        <w:rPr>
          <w:rFonts w:hint="eastAsia" w:ascii="宋体" w:hAnsi="宋体" w:eastAsia="宋体" w:cs="方正仿宋_GBK"/>
          <w:color w:val="auto"/>
          <w:sz w:val="24"/>
          <w:szCs w:val="24"/>
          <w:highlight w:val="none"/>
          <w:lang w:eastAsia="zh-CN"/>
        </w:rPr>
        <w:t xml:space="preserve">连云港市中医院电子胆道镜采购项目</w:t>
      </w:r>
      <w:r/>
    </w:p>
    <w:p>
      <w:pPr>
        <w:jc w:val="left"/>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rPr>
        <w:t xml:space="preserve">标段编号：</w:t>
      </w:r>
      <w:r>
        <w:rPr>
          <w:rFonts w:hint="eastAsia" w:ascii="宋体" w:hAnsi="宋体" w:eastAsia="宋体" w:cs="方正仿宋_GBK"/>
          <w:color w:val="auto"/>
          <w:sz w:val="24"/>
          <w:szCs w:val="24"/>
          <w:highlight w:val="none"/>
          <w:lang w:val="en-US" w:eastAsia="zh-CN"/>
        </w:rPr>
        <w:t xml:space="preserve">***</w:t>
      </w:r>
      <w:r/>
    </w:p>
    <w:p>
      <w:pPr>
        <w:jc w:val="right"/>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736"/>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tcPr>
          <w:p>
            <w:pPr>
              <w:jc w:val="center"/>
              <w:widowControl/>
              <w:rPr>
                <w:bCs/>
                <w:color w:val="auto"/>
                <w:highlight w:val="none"/>
              </w:rPr>
            </w:pPr>
            <w:r>
              <w:rPr>
                <w:rFonts w:hint="eastAsia"/>
                <w:bCs/>
                <w:color w:val="auto"/>
                <w:highlight w:val="none"/>
              </w:rPr>
              <w:t xml:space="preserve">序号</w:t>
            </w:r>
            <w:r/>
          </w:p>
        </w:tc>
        <w:tc>
          <w:tcPr>
            <w:tcW w:w="1134" w:type="dxa"/>
            <w:vAlign w:val="center"/>
            <w:textDirection w:val="lrTb"/>
            <w:noWrap/>
          </w:tcPr>
          <w:p>
            <w:pPr>
              <w:jc w:val="center"/>
              <w:widowControl/>
              <w:rPr>
                <w:bCs/>
                <w:color w:val="auto"/>
                <w:highlight w:val="none"/>
              </w:rPr>
            </w:pPr>
            <w:r>
              <w:rPr>
                <w:bCs/>
                <w:color w:val="auto"/>
                <w:highlight w:val="none"/>
              </w:rPr>
              <w:t xml:space="preserve">名称</w:t>
            </w:r>
            <w:r/>
          </w:p>
        </w:tc>
        <w:tc>
          <w:tcPr>
            <w:tcW w:w="709" w:type="dxa"/>
            <w:vAlign w:val="center"/>
            <w:textDirection w:val="lrTb"/>
            <w:noWrap/>
          </w:tcPr>
          <w:p>
            <w:pPr>
              <w:jc w:val="center"/>
              <w:widowControl/>
              <w:rPr>
                <w:bCs/>
                <w:color w:val="auto"/>
                <w:highlight w:val="none"/>
              </w:rPr>
            </w:pPr>
            <w:r>
              <w:rPr>
                <w:bCs/>
                <w:color w:val="auto"/>
                <w:highlight w:val="none"/>
              </w:rPr>
              <w:t xml:space="preserve">品牌</w:t>
            </w:r>
            <w:r/>
          </w:p>
        </w:tc>
        <w:tc>
          <w:tcPr>
            <w:tcW w:w="1134" w:type="dxa"/>
            <w:vAlign w:val="center"/>
            <w:textDirection w:val="lrTb"/>
            <w:noWrap/>
          </w:tcPr>
          <w:p>
            <w:pPr>
              <w:jc w:val="center"/>
              <w:widowControl/>
              <w:rPr>
                <w:bCs/>
                <w:color w:val="auto"/>
                <w:highlight w:val="none"/>
              </w:rPr>
            </w:pPr>
            <w:r>
              <w:rPr>
                <w:bCs/>
                <w:color w:val="auto"/>
                <w:highlight w:val="none"/>
              </w:rPr>
              <w:t xml:space="preserve">规格型号</w:t>
            </w:r>
            <w:r/>
          </w:p>
        </w:tc>
        <w:tc>
          <w:tcPr>
            <w:tcW w:w="850" w:type="dxa"/>
            <w:vAlign w:val="center"/>
            <w:textDirection w:val="lrTb"/>
            <w:noWrap/>
          </w:tcPr>
          <w:p>
            <w:pPr>
              <w:jc w:val="center"/>
              <w:widowControl/>
              <w:rPr>
                <w:bCs/>
                <w:color w:val="auto"/>
                <w:highlight w:val="none"/>
              </w:rPr>
            </w:pPr>
            <w:r>
              <w:rPr>
                <w:bCs/>
                <w:color w:val="auto"/>
                <w:highlight w:val="none"/>
              </w:rPr>
              <w:t xml:space="preserve">制造商</w:t>
            </w:r>
            <w:r/>
          </w:p>
        </w:tc>
        <w:tc>
          <w:tcPr>
            <w:tcW w:w="1134" w:type="dxa"/>
            <w:vAlign w:val="center"/>
            <w:textDirection w:val="lrTb"/>
            <w:noWrap/>
          </w:tcPr>
          <w:p>
            <w:pPr>
              <w:jc w:val="center"/>
              <w:widowControl/>
              <w:rPr>
                <w:bCs/>
                <w:color w:val="auto"/>
                <w:highlight w:val="none"/>
              </w:rPr>
            </w:pPr>
            <w:r>
              <w:rPr>
                <w:bCs/>
                <w:color w:val="auto"/>
                <w:highlight w:val="none"/>
              </w:rPr>
              <w:t xml:space="preserve">制造商企业类型</w:t>
            </w:r>
            <w:r/>
          </w:p>
        </w:tc>
        <w:tc>
          <w:tcPr>
            <w:tcW w:w="709" w:type="dxa"/>
            <w:vAlign w:val="center"/>
            <w:textDirection w:val="lrTb"/>
            <w:noWrap/>
          </w:tcPr>
          <w:p>
            <w:pPr>
              <w:jc w:val="center"/>
              <w:widowControl/>
              <w:rPr>
                <w:bCs/>
                <w:color w:val="auto"/>
                <w:highlight w:val="none"/>
              </w:rPr>
            </w:pPr>
            <w:r>
              <w:rPr>
                <w:bCs/>
                <w:color w:val="auto"/>
                <w:highlight w:val="none"/>
              </w:rPr>
              <w:t xml:space="preserve">单价</w:t>
            </w:r>
            <w:r/>
          </w:p>
        </w:tc>
        <w:tc>
          <w:tcPr>
            <w:tcW w:w="1134" w:type="dxa"/>
            <w:vAlign w:val="center"/>
            <w:textDirection w:val="lrTb"/>
            <w:noWrap/>
          </w:tcPr>
          <w:p>
            <w:pPr>
              <w:jc w:val="center"/>
              <w:widowControl/>
              <w:rPr>
                <w:bCs/>
                <w:color w:val="auto"/>
                <w:highlight w:val="none"/>
              </w:rPr>
            </w:pPr>
            <w:r>
              <w:rPr>
                <w:bCs/>
                <w:color w:val="auto"/>
                <w:highlight w:val="none"/>
              </w:rPr>
              <w:t xml:space="preserve">采购数量</w:t>
            </w:r>
            <w:r/>
          </w:p>
        </w:tc>
        <w:tc>
          <w:tcPr>
            <w:tcW w:w="1094" w:type="dxa"/>
            <w:vAlign w:val="center"/>
            <w:textDirection w:val="lrTb"/>
            <w:noWrap/>
          </w:tcPr>
          <w:p>
            <w:pPr>
              <w:jc w:val="center"/>
              <w:widowControl/>
              <w:rPr>
                <w:bCs/>
                <w:color w:val="auto"/>
                <w:highlight w:val="none"/>
              </w:rPr>
            </w:pPr>
            <w:r>
              <w:rPr>
                <w:bCs/>
                <w:color w:val="auto"/>
                <w:highlight w:val="none"/>
              </w:rPr>
              <w:t xml:space="preserve">计量单位</w:t>
            </w:r>
            <w:r/>
          </w:p>
        </w:tc>
        <w:tc>
          <w:tcPr>
            <w:tcW w:w="1047" w:type="dxa"/>
            <w:vAlign w:val="center"/>
            <w:textDirection w:val="lrTb"/>
            <w:noWrap/>
          </w:tcPr>
          <w:p>
            <w:pPr>
              <w:jc w:val="center"/>
              <w:widowControl/>
              <w:rPr>
                <w:bCs/>
                <w:color w:val="auto"/>
                <w:highlight w:val="none"/>
              </w:rPr>
            </w:pPr>
            <w:r>
              <w:rPr>
                <w:bCs/>
                <w:color w:val="auto"/>
                <w:highlight w:val="none"/>
              </w:rPr>
              <w:t xml:space="preserve">总价</w:t>
            </w:r>
            <w:r/>
          </w:p>
        </w:tc>
      </w:tr>
      <w:tr>
        <w:trPr>
          <w:jc w:val="center"/>
          <w:trHeight w:val="581"/>
        </w:trPr>
        <w:tc>
          <w:tcPr>
            <w:tcW w:w="726"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850"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1094" w:type="dxa"/>
            <w:vAlign w:val="center"/>
            <w:textDirection w:val="lrTb"/>
            <w:noWrap/>
          </w:tcPr>
          <w:p>
            <w:pPr>
              <w:widowControl/>
              <w:rPr>
                <w:color w:val="auto"/>
                <w:highlight w:val="none"/>
              </w:rPr>
            </w:pPr>
            <w:r>
              <w:rPr>
                <w:color w:val="auto"/>
                <w:highlight w:val="none"/>
              </w:rPr>
            </w:r>
            <w:r/>
          </w:p>
        </w:tc>
        <w:tc>
          <w:tcPr>
            <w:tcW w:w="1047" w:type="dxa"/>
            <w:vAlign w:val="center"/>
            <w:textDirection w:val="lrTb"/>
            <w:noWrap/>
          </w:tcPr>
          <w:p>
            <w:pPr>
              <w:widowControl/>
              <w:rPr>
                <w:color w:val="auto"/>
                <w:highlight w:val="none"/>
              </w:rPr>
            </w:pPr>
            <w:r>
              <w:rPr>
                <w:color w:val="auto"/>
                <w:highlight w:val="none"/>
              </w:rPr>
            </w:r>
            <w:r/>
          </w:p>
        </w:tc>
      </w:tr>
      <w:tr>
        <w:trPr>
          <w:jc w:val="center"/>
          <w:trHeight w:val="548"/>
        </w:trPr>
        <w:tc>
          <w:tcPr>
            <w:tcW w:w="726"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850"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1094" w:type="dxa"/>
            <w:vAlign w:val="center"/>
            <w:textDirection w:val="lrTb"/>
            <w:noWrap/>
          </w:tcPr>
          <w:p>
            <w:pPr>
              <w:widowControl/>
              <w:rPr>
                <w:color w:val="auto"/>
                <w:highlight w:val="none"/>
              </w:rPr>
            </w:pPr>
            <w:r>
              <w:rPr>
                <w:color w:val="auto"/>
                <w:highlight w:val="none"/>
              </w:rPr>
            </w:r>
            <w:r/>
          </w:p>
        </w:tc>
        <w:tc>
          <w:tcPr>
            <w:tcW w:w="1047" w:type="dxa"/>
            <w:vAlign w:val="center"/>
            <w:textDirection w:val="lrTb"/>
            <w:noWrap/>
          </w:tcPr>
          <w:p>
            <w:pPr>
              <w:widowControl/>
              <w:rPr>
                <w:color w:val="auto"/>
                <w:highlight w:val="none"/>
              </w:rPr>
            </w:pPr>
            <w:r>
              <w:rPr>
                <w:color w:val="auto"/>
                <w:highlight w:val="none"/>
              </w:rPr>
            </w:r>
            <w:r/>
          </w:p>
        </w:tc>
      </w:tr>
      <w:tr>
        <w:trPr>
          <w:jc w:val="center"/>
          <w:trHeight w:val="551"/>
        </w:trPr>
        <w:tc>
          <w:tcPr>
            <w:tcW w:w="726"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850"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1094" w:type="dxa"/>
            <w:vAlign w:val="center"/>
            <w:textDirection w:val="lrTb"/>
            <w:noWrap/>
          </w:tcPr>
          <w:p>
            <w:pPr>
              <w:widowControl/>
              <w:rPr>
                <w:color w:val="auto"/>
                <w:highlight w:val="none"/>
              </w:rPr>
            </w:pPr>
            <w:r>
              <w:rPr>
                <w:color w:val="auto"/>
                <w:highlight w:val="none"/>
              </w:rPr>
            </w:r>
            <w:r/>
          </w:p>
        </w:tc>
        <w:tc>
          <w:tcPr>
            <w:tcW w:w="1047" w:type="dxa"/>
            <w:vAlign w:val="center"/>
            <w:textDirection w:val="lrTb"/>
            <w:noWrap/>
          </w:tcPr>
          <w:p>
            <w:pPr>
              <w:widowControl/>
              <w:rPr>
                <w:color w:val="auto"/>
                <w:highlight w:val="none"/>
              </w:rPr>
            </w:pPr>
            <w:r>
              <w:rPr>
                <w:color w:val="auto"/>
                <w:highlight w:val="none"/>
              </w:rPr>
            </w:r>
            <w:r/>
          </w:p>
        </w:tc>
      </w:tr>
      <w:tr>
        <w:trPr>
          <w:jc w:val="center"/>
          <w:trHeight w:val="547"/>
        </w:trPr>
        <w:tc>
          <w:tcPr>
            <w:tcW w:w="726"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850"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1094" w:type="dxa"/>
            <w:vAlign w:val="center"/>
            <w:textDirection w:val="lrTb"/>
            <w:noWrap/>
          </w:tcPr>
          <w:p>
            <w:pPr>
              <w:widowControl/>
              <w:rPr>
                <w:color w:val="auto"/>
                <w:highlight w:val="none"/>
              </w:rPr>
            </w:pPr>
            <w:r>
              <w:rPr>
                <w:color w:val="auto"/>
                <w:highlight w:val="none"/>
              </w:rPr>
            </w:r>
            <w:r/>
          </w:p>
        </w:tc>
        <w:tc>
          <w:tcPr>
            <w:tcW w:w="1047" w:type="dxa"/>
            <w:vAlign w:val="center"/>
            <w:textDirection w:val="lrTb"/>
            <w:noWrap/>
          </w:tcPr>
          <w:p>
            <w:pPr>
              <w:widowControl/>
              <w:rPr>
                <w:color w:val="auto"/>
                <w:highlight w:val="none"/>
              </w:rPr>
            </w:pPr>
            <w:r>
              <w:rPr>
                <w:color w:val="auto"/>
                <w:highlight w:val="none"/>
              </w:rPr>
            </w:r>
            <w:r/>
          </w:p>
        </w:tc>
      </w:tr>
      <w:tr>
        <w:trPr>
          <w:jc w:val="center"/>
          <w:trHeight w:val="567"/>
        </w:trPr>
        <w:tc>
          <w:tcPr>
            <w:tcW w:w="726"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850"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1094" w:type="dxa"/>
            <w:vAlign w:val="center"/>
            <w:textDirection w:val="lrTb"/>
            <w:noWrap/>
          </w:tcPr>
          <w:p>
            <w:pPr>
              <w:widowControl/>
              <w:rPr>
                <w:color w:val="auto"/>
                <w:highlight w:val="none"/>
              </w:rPr>
            </w:pPr>
            <w:r>
              <w:rPr>
                <w:color w:val="auto"/>
                <w:highlight w:val="none"/>
              </w:rPr>
            </w:r>
            <w:r/>
          </w:p>
        </w:tc>
        <w:tc>
          <w:tcPr>
            <w:tcW w:w="1047" w:type="dxa"/>
            <w:vAlign w:val="center"/>
            <w:textDirection w:val="lrTb"/>
            <w:noWrap/>
          </w:tcPr>
          <w:p>
            <w:pPr>
              <w:widowControl/>
              <w:rPr>
                <w:color w:val="auto"/>
                <w:highlight w:val="none"/>
              </w:rPr>
            </w:pPr>
            <w:r>
              <w:rPr>
                <w:color w:val="auto"/>
                <w:highlight w:val="none"/>
              </w:rPr>
            </w:r>
            <w:r/>
          </w:p>
        </w:tc>
      </w:tr>
      <w:tr>
        <w:trPr>
          <w:jc w:val="center"/>
          <w:trHeight w:val="567"/>
        </w:trPr>
        <w:tc>
          <w:tcPr>
            <w:gridSpan w:val="9"/>
            <w:tcW w:w="8624" w:type="dxa"/>
            <w:vAlign w:val="center"/>
            <w:textDirection w:val="lrTb"/>
            <w:noWrap/>
          </w:tcPr>
          <w:p>
            <w:pPr>
              <w:jc w:val="center"/>
              <w:widowControl/>
              <w:rPr>
                <w:color w:val="auto"/>
                <w:highlight w:val="none"/>
              </w:rPr>
            </w:pPr>
            <w:r>
              <w:rPr>
                <w:rFonts w:hint="eastAsia"/>
                <w:color w:val="auto"/>
                <w:highlight w:val="none"/>
              </w:rPr>
              <w:t xml:space="preserve">总计（元）</w:t>
            </w:r>
            <w:r/>
          </w:p>
        </w:tc>
        <w:tc>
          <w:tcPr>
            <w:tcW w:w="1047" w:type="dxa"/>
            <w:vAlign w:val="center"/>
            <w:textDirection w:val="lrTb"/>
            <w:noWrap/>
          </w:tcPr>
          <w:p>
            <w:pPr>
              <w:widowControl/>
              <w:rPr>
                <w:color w:val="auto"/>
                <w:highlight w:val="none"/>
              </w:rPr>
            </w:pPr>
            <w:r>
              <w:rPr>
                <w:color w:val="auto"/>
                <w:highlight w:val="none"/>
              </w:rPr>
            </w:r>
            <w:r/>
          </w:p>
        </w:tc>
      </w:tr>
    </w:tbl>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填报说明：</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2、以上总价包含货物费用、运杂费、安装施工费、集成费、税金和其他费用。</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3、请供应商正确填写本表，所填内容将作为评审的依据，其内容应与对应的证明资料相符。</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4、本表中事项填写不得有缺失，请如实填写，行数或事项不够，可自行增加。</w:t>
      </w:r>
      <w:r/>
    </w:p>
    <w:p>
      <w:pPr>
        <w:pStyle w:val="743"/>
        <w:rPr>
          <w:color w:val="auto"/>
          <w:highlight w:val="none"/>
        </w:rPr>
      </w:pPr>
      <w:r>
        <w:rPr>
          <w:color w:val="auto"/>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法定代表人或委托代理人（签字或盖章）：</w:t>
      </w:r>
      <w:r/>
    </w:p>
    <w:p>
      <w:pPr>
        <w:ind w:firstLine="420"/>
        <w:spacing w:line="360" w:lineRule="auto"/>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日期：年月日</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格式4、中小企业声明函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本公司郑重声明，根据《政府采购促进中小企业发展管理办法》（财库﹝2020﹞46号）的规定，本公司参加</w:t>
      </w:r>
      <w:r>
        <w:rPr>
          <w:rFonts w:ascii="宋体" w:hAnsi="宋体" w:eastAsia="宋体" w:cs="Times New Roman"/>
          <w:color w:val="auto"/>
          <w:sz w:val="24"/>
          <w:szCs w:val="24"/>
          <w:highlight w:val="none"/>
          <w:u w:val="single"/>
        </w:rPr>
        <w:t xml:space="preserve">（单位名称）</w:t>
      </w:r>
      <w:r>
        <w:rPr>
          <w:rFonts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u w:val="single"/>
        </w:rPr>
        <w:t xml:space="preserve">（项目名称）</w:t>
      </w:r>
      <w:r>
        <w:rPr>
          <w:rFonts w:ascii="宋体" w:hAnsi="宋体" w:eastAsia="宋体" w:cs="Times New Roman"/>
          <w:color w:val="auto"/>
          <w:sz w:val="24"/>
          <w:szCs w:val="24"/>
          <w:highlight w:val="none"/>
        </w:rPr>
        <w:t xml:space="preserve">采购活动，提供的货物全部由符合政策要求的中小企业制造。相关企业的具体情况如下：</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1. </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 xml:space="preserve">，属于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 xml:space="preserve">行业；制造商为</w:t>
      </w:r>
      <w:r>
        <w:rPr>
          <w:rFonts w:ascii="宋体" w:hAnsi="宋体" w:eastAsia="宋体" w:cs="Times New Roman"/>
          <w:color w:val="auto"/>
          <w:sz w:val="24"/>
          <w:szCs w:val="24"/>
          <w:highlight w:val="none"/>
          <w:u w:val="single"/>
        </w:rPr>
        <w:t xml:space="preserve">（企业名称）</w:t>
      </w:r>
      <w:r>
        <w:rPr>
          <w:rFonts w:ascii="宋体" w:hAnsi="宋体" w:eastAsia="宋体" w:cs="Times New Roman"/>
          <w:color w:val="auto"/>
          <w:sz w:val="24"/>
          <w:szCs w:val="24"/>
          <w:highlight w:val="none"/>
        </w:rPr>
        <w:t xml:space="preserve">，从业人员人，营业收入为万元，资产总额为万元，属于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中型企业、</w:t>
      </w:r>
      <w:r>
        <w:rPr>
          <w:rFonts w:ascii="宋体" w:hAnsi="宋体" w:eastAsia="宋体" w:cs="Times New Roman"/>
          <w:color w:val="auto"/>
          <w:sz w:val="24"/>
          <w:szCs w:val="24"/>
          <w:highlight w:val="none"/>
          <w:u w:val="single"/>
        </w:rPr>
        <w:t xml:space="preserve">小型企业、微型企业）</w:t>
      </w:r>
      <w:r>
        <w:rPr>
          <w:rFonts w:ascii="宋体" w:hAnsi="宋体" w:eastAsia="宋体" w:cs="Times New Roman"/>
          <w:color w:val="auto"/>
          <w:sz w:val="24"/>
          <w:szCs w:val="24"/>
          <w:highlight w:val="none"/>
        </w:rPr>
        <w:t xml:space="preserve">；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 </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 xml:space="preserve">，属于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 xml:space="preserve">行业；制造商为</w:t>
      </w:r>
      <w:r>
        <w:rPr>
          <w:rFonts w:ascii="宋体" w:hAnsi="宋体" w:eastAsia="宋体" w:cs="Times New Roman"/>
          <w:color w:val="auto"/>
          <w:sz w:val="24"/>
          <w:szCs w:val="24"/>
          <w:highlight w:val="none"/>
          <w:u w:val="single"/>
        </w:rPr>
        <w:t xml:space="preserve">（企业名称）</w:t>
      </w:r>
      <w:r>
        <w:rPr>
          <w:rFonts w:ascii="宋体" w:hAnsi="宋体" w:eastAsia="宋体" w:cs="Times New Roman"/>
          <w:color w:val="auto"/>
          <w:sz w:val="24"/>
          <w:szCs w:val="24"/>
          <w:highlight w:val="none"/>
        </w:rPr>
        <w:t xml:space="preserve">，从业人员人，营业收入为万元，资产总额为万元，属于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中型企业、</w:t>
      </w:r>
      <w:r>
        <w:rPr>
          <w:rFonts w:ascii="宋体" w:hAnsi="宋体" w:eastAsia="宋体" w:cs="Times New Roman"/>
          <w:color w:val="auto"/>
          <w:sz w:val="24"/>
          <w:szCs w:val="24"/>
          <w:highlight w:val="none"/>
          <w:u w:val="single"/>
        </w:rPr>
        <w:t xml:space="preserve">小型企业、微型企业）</w:t>
      </w:r>
      <w:r>
        <w:rPr>
          <w:rFonts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本企业对上述声明内容的真实性负责。如有虚假，将依法承担相应责任。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firstLine="49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firstLine="49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企业名称（盖章）： </w:t>
      </w:r>
      <w:r/>
    </w:p>
    <w:p>
      <w:pPr>
        <w:ind w:right="480" w:firstLine="49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日 期：</w:t>
      </w:r>
      <w:r>
        <w:rPr>
          <w:rFonts w:hint="eastAsia" w:ascii="宋体" w:hAnsi="宋体" w:eastAsia="宋体" w:cs="Times New Roman"/>
          <w:color w:val="auto"/>
          <w:sz w:val="24"/>
          <w:szCs w:val="24"/>
          <w:highlight w:val="none"/>
        </w:rPr>
        <w:t xml:space="preserve">   年   月   日</w:t>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right="480"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2、请供应商如实填写，所填内容将作为评审的依据。其内容填写须与分项报价表一致，如填写不完整或不一致，将不享受扶持政策。</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3、中标供应商的《中小企业声明函》随中标结果公开。</w:t>
      </w:r>
      <w:r/>
    </w:p>
    <w:p>
      <w:pPr>
        <w:ind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r/>
    </w:p>
    <w:p>
      <w:pPr>
        <w:keepNext/>
        <w:spacing w:line="360" w:lineRule="auto"/>
        <w:rPr>
          <w:rFonts w:ascii="Times New Roman" w:hAnsi="Times New Roman" w:eastAsia="黑体" w:cs="Times New Roman"/>
          <w:b/>
          <w:color w:val="auto"/>
          <w:sz w:val="28"/>
          <w:szCs w:val="20"/>
          <w:highlight w:val="none"/>
        </w:rPr>
        <w:outlineLvl w:val="1"/>
      </w:pPr>
      <w:r>
        <w:rPr>
          <w:rFonts w:hint="eastAsia" w:ascii="宋体" w:hAnsi="宋体" w:eastAsia="宋体" w:cs="Times New Roman"/>
          <w:color w:val="auto"/>
          <w:sz w:val="24"/>
          <w:szCs w:val="24"/>
          <w:highlight w:val="none"/>
        </w:rPr>
        <w:t xml:space="preserve">格式5、残疾人福利性企业声明函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u w:val="single"/>
        </w:rPr>
        <w:t xml:space="preserve">（货物名称）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xml:space="preserve">　（企业名称）　</w:t>
      </w:r>
      <w:r>
        <w:rPr>
          <w:rFonts w:hint="eastAsia" w:ascii="宋体" w:hAnsi="宋体" w:eastAsia="宋体" w:cs="Times New Roman"/>
          <w:color w:val="auto"/>
          <w:sz w:val="24"/>
          <w:szCs w:val="24"/>
          <w:highlight w:val="none"/>
        </w:rPr>
        <w:t xml:space="preserve">，属于残疾人福利性单位；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u w:val="single"/>
        </w:rPr>
        <w:t xml:space="preserve">（货物名称）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xml:space="preserve">　（企业名称）　</w:t>
      </w:r>
      <w:r>
        <w:rPr>
          <w:rFonts w:hint="eastAsia" w:ascii="宋体" w:hAnsi="宋体" w:eastAsia="宋体" w:cs="Times New Roman"/>
          <w:color w:val="auto"/>
          <w:sz w:val="24"/>
          <w:szCs w:val="24"/>
          <w:highlight w:val="none"/>
        </w:rPr>
        <w:t xml:space="preserve">，属于残疾人福利性单位；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企业名称(盖章)：</w:t>
      </w:r>
      <w:r/>
    </w:p>
    <w:p>
      <w:pPr>
        <w:ind w:firstLine="480"/>
        <w:spacing w:line="588" w:lineRule="exact"/>
        <w:rPr>
          <w:rFonts w:ascii="Times New Roman" w:hAnsi="Times New Roman" w:eastAsia="宋体" w:cs="Times New Roman"/>
          <w:b/>
          <w:color w:val="auto"/>
          <w:sz w:val="22"/>
          <w:szCs w:val="21"/>
          <w:highlight w:val="none"/>
        </w:rPr>
      </w:pPr>
      <w:r>
        <w:rPr>
          <w:rFonts w:hint="eastAsia" w:ascii="宋体" w:hAnsi="宋体" w:eastAsia="宋体" w:cs="Times New Roman"/>
          <w:color w:val="auto"/>
          <w:sz w:val="24"/>
          <w:szCs w:val="24"/>
          <w:highlight w:val="none"/>
        </w:rPr>
        <w:t xml:space="preserve">　　　　　　　　　　　　　　　　　　日期：   年   月   日</w:t>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1、请供应商如实填写，所填内容将作为评审的依据。</w:t>
      </w:r>
      <w:r>
        <w:rPr>
          <w:rFonts w:hint="eastAsia" w:ascii="宋体" w:hAnsi="宋体" w:eastAsia="宋体" w:cs="Times New Roman"/>
          <w:color w:val="auto"/>
          <w:sz w:val="24"/>
          <w:szCs w:val="24"/>
          <w:highlight w:val="none"/>
        </w:rPr>
        <w:t xml:space="preserve">其内容填写须与分项报价表一致，如填写不完整或不一致，将不享受扶</w:t>
      </w:r>
      <w:r>
        <w:rPr>
          <w:rFonts w:hint="eastAsia" w:ascii="宋体" w:hAnsi="宋体" w:eastAsia="宋体" w:cs="Times New Roman"/>
          <w:bCs/>
          <w:color w:val="auto"/>
          <w:sz w:val="24"/>
          <w:szCs w:val="24"/>
          <w:highlight w:val="none"/>
        </w:rPr>
        <w:t xml:space="preserve">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2、中标供应商的《残疾人福利性单位声明函》随中标结果公开。</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格式6、具备履行合同所必需的设备和专业技术能力的声明及证明材料</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rPr>
        <w:t xml:space="preserve">（供应商名称）</w:t>
      </w:r>
      <w:r>
        <w:rPr>
          <w:rFonts w:hint="eastAsia" w:ascii="Times New Roman" w:hAnsi="Times New Roman" w:eastAsia="宋体" w:cs="Times New Roman"/>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主要设备有：。</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主要专业技术能力有：。</w:t>
      </w:r>
      <w:r/>
    </w:p>
    <w:p>
      <w:pPr>
        <w:ind w:firstLine="482"/>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注：须附证明材料。</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540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声明人（盖章）：</w:t>
      </w:r>
      <w:r/>
    </w:p>
    <w:p>
      <w:pPr>
        <w:ind w:firstLine="540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日期：年月日</w:t>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格式7、参加政府采购活动前 3 年内在经营活动中没有重大违法记录的书面声明</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声  明</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日期：年月日</w:t>
      </w:r>
      <w:r/>
    </w:p>
    <w:p>
      <w:pPr>
        <w:keepNext/>
        <w:spacing w:line="360" w:lineRule="auto"/>
        <w:rPr>
          <w:rFonts w:ascii="Times New Roman" w:hAnsi="Times New Roman" w:eastAsia="宋体" w:cs="Times New Roman"/>
          <w:b/>
          <w:color w:val="auto"/>
          <w:sz w:val="28"/>
          <w:szCs w:val="20"/>
          <w:highlight w:val="none"/>
        </w:rPr>
        <w:outlineLvl w:val="1"/>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格式8、法定代表人授权委托书</w:t>
      </w:r>
      <w:r/>
    </w:p>
    <w:p>
      <w:pPr>
        <w:ind w:firstLine="720"/>
        <w:jc w:val="center"/>
        <w:spacing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ind w:firstLine="720"/>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法定代表人授权委托书</w:t>
      </w:r>
      <w:r/>
    </w:p>
    <w:p>
      <w:pPr>
        <w:ind w:firstLine="420"/>
        <w:spacing w:line="500" w:lineRule="exact"/>
        <w:rPr>
          <w:rFonts w:ascii="宋体" w:hAnsi="Courier New" w:eastAsia="宋体" w:cs="Times New Roman"/>
          <w:color w:val="auto"/>
          <w:szCs w:val="20"/>
          <w:highlight w:val="none"/>
        </w:rPr>
      </w:pPr>
      <w:r>
        <w:rPr>
          <w:rFonts w:ascii="宋体" w:hAnsi="Courier New" w:eastAsia="宋体" w:cs="Times New Roman"/>
          <w:color w:val="auto"/>
          <w:szCs w:val="20"/>
          <w:highlight w:val="none"/>
        </w:rPr>
      </w:r>
      <w:r/>
    </w:p>
    <w:p>
      <w:pPr>
        <w:rPr>
          <w:rFonts w:ascii="宋体" w:hAnsi="宋体" w:eastAsia="宋体" w:cs="Times New Roman"/>
          <w:color w:val="auto"/>
          <w:sz w:val="24"/>
          <w:szCs w:val="20"/>
          <w:highlight w:val="none"/>
        </w:rPr>
      </w:pPr>
      <w:r>
        <w:rPr>
          <w:rFonts w:hint="eastAsia" w:ascii="宋体" w:hAnsi="宋体"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采购单位</w:t>
      </w:r>
      <w:r/>
    </w:p>
    <w:p>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本人</w:t>
      </w:r>
      <w:r>
        <w:rPr>
          <w:rFonts w:hint="eastAsia" w:ascii="宋体" w:hAnsi="宋体" w:eastAsia="宋体" w:cs="Times New Roman"/>
          <w:color w:val="auto"/>
          <w:sz w:val="24"/>
          <w:szCs w:val="24"/>
          <w:highlight w:val="none"/>
          <w:lang w:val="zh-CN"/>
        </w:rPr>
        <w:t xml:space="preserve">_______</w:t>
      </w:r>
      <w:r>
        <w:rPr>
          <w:rFonts w:hint="eastAsia" w:ascii="宋体" w:hAnsi="宋体" w:eastAsia="宋体" w:cs="Times New Roman"/>
          <w:color w:val="auto"/>
          <w:sz w:val="24"/>
          <w:szCs w:val="20"/>
          <w:highlight w:val="none"/>
        </w:rPr>
        <w:t xml:space="preserve">（姓名）系</w:t>
      </w:r>
      <w:r>
        <w:rPr>
          <w:rFonts w:hint="eastAsia" w:ascii="宋体" w:hAnsi="宋体" w:eastAsia="宋体" w:cs="Times New Roman"/>
          <w:color w:val="auto"/>
          <w:sz w:val="24"/>
          <w:szCs w:val="24"/>
          <w:highlight w:val="none"/>
          <w:lang w:val="zh-CN"/>
        </w:rPr>
        <w:t xml:space="preserve">________________</w:t>
      </w:r>
      <w:r>
        <w:rPr>
          <w:rFonts w:hint="eastAsia" w:ascii="宋体" w:hAnsi="宋体" w:eastAsia="宋体" w:cs="Times New Roman"/>
          <w:color w:val="auto"/>
          <w:sz w:val="24"/>
          <w:szCs w:val="20"/>
          <w:highlight w:val="none"/>
        </w:rPr>
        <w:t xml:space="preserve">（投标人名称）的法定代表人（单位负责人），现委托</w:t>
      </w:r>
      <w:r>
        <w:rPr>
          <w:rFonts w:hint="eastAsia" w:ascii="宋体" w:hAnsi="宋体" w:eastAsia="宋体" w:cs="Times New Roman"/>
          <w:color w:val="auto"/>
          <w:sz w:val="24"/>
          <w:szCs w:val="24"/>
          <w:highlight w:val="none"/>
          <w:lang w:val="zh-CN"/>
        </w:rPr>
        <w:t xml:space="preserve">_______</w:t>
      </w:r>
      <w:r>
        <w:rPr>
          <w:rFonts w:hint="eastAsia" w:ascii="宋体" w:hAnsi="宋体" w:eastAsia="宋体" w:cs="Times New Roman"/>
          <w:color w:val="auto"/>
          <w:sz w:val="24"/>
          <w:szCs w:val="20"/>
          <w:highlight w:val="none"/>
        </w:rPr>
        <w:t xml:space="preserve">（姓名）为我方代理人。代理人根据授权，以我方名义签署、澄清确认、递交、撤回、修改</w:t>
      </w:r>
      <w:r>
        <w:rPr>
          <w:rFonts w:hint="eastAsia" w:ascii="Calibri" w:hAnsi="Calibri" w:eastAsia="宋体" w:cs="Times New Roman"/>
          <w:i/>
          <w:color w:val="auto"/>
          <w:sz w:val="24"/>
          <w:szCs w:val="24"/>
          <w:highlight w:val="none"/>
          <w:u w:val="single"/>
        </w:rPr>
        <w:t xml:space="preserve">标段名称</w:t>
      </w:r>
      <w:r>
        <w:rPr>
          <w:rFonts w:hint="eastAsia" w:ascii="Calibri" w:hAnsi="Calibri" w:eastAsia="宋体" w:cs="Times New Roman"/>
          <w:color w:val="auto"/>
          <w:sz w:val="24"/>
          <w:szCs w:val="24"/>
          <w:highlight w:val="none"/>
        </w:rPr>
        <w:t xml:space="preserve">项目（标段编号：</w:t>
      </w:r>
      <w:r>
        <w:rPr>
          <w:rFonts w:hint="eastAsia" w:ascii="Calibri" w:hAnsi="宋体" w:eastAsia="宋体" w:cs="Times New Roman"/>
          <w:i/>
          <w:color w:val="auto"/>
          <w:sz w:val="24"/>
          <w:szCs w:val="24"/>
          <w:highlight w:val="none"/>
          <w:u w:val="single"/>
        </w:rPr>
        <w:t xml:space="preserve">标段编号</w:t>
      </w:r>
      <w:r>
        <w:rPr>
          <w:rFonts w:hint="eastAsia" w:ascii="Calibri" w:hAnsi="Calibri" w:eastAsia="宋体" w:cs="Times New Roman"/>
          <w:color w:val="auto"/>
          <w:sz w:val="24"/>
          <w:szCs w:val="24"/>
          <w:highlight w:val="none"/>
        </w:rPr>
        <w:t xml:space="preserve">）</w:t>
      </w:r>
      <w:r>
        <w:rPr>
          <w:rFonts w:hint="eastAsia" w:ascii="宋体" w:hAnsi="宋体" w:eastAsia="宋体" w:cs="Times New Roman"/>
          <w:color w:val="auto"/>
          <w:sz w:val="24"/>
          <w:szCs w:val="20"/>
          <w:highlight w:val="none"/>
        </w:rPr>
        <w:t xml:space="preserve">投标文件和处理有关事宜，其法律后果由我方承担。</w:t>
      </w:r>
      <w:r/>
    </w:p>
    <w:p>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委托期限：自本授权委托书签署之日起至响应有效期届满之日止。</w:t>
      </w:r>
      <w:r/>
    </w:p>
    <w:p>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代理人无转委托权。</w:t>
      </w:r>
      <w:r/>
    </w:p>
    <w:p>
      <w:pPr>
        <w:ind w:firstLine="420"/>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投标人名称（加盖公章）</w:t>
      </w:r>
      <w:r>
        <w:rPr>
          <w:rFonts w:hint="eastAsia" w:ascii="宋体" w:hAnsi="宋体" w:eastAsia="宋体" w:cs="Times New Roman"/>
          <w:color w:val="auto"/>
          <w:sz w:val="24"/>
          <w:szCs w:val="24"/>
          <w:highlight w:val="none"/>
          <w:lang w:val="zh-CN"/>
        </w:rPr>
        <w:t xml:space="preserve">：________________</w:t>
      </w:r>
      <w:r/>
    </w:p>
    <w:p>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法定代表人（单位负责人）（签字、签章或印鉴）：</w:t>
      </w:r>
      <w:r>
        <w:rPr>
          <w:rFonts w:hint="eastAsia" w:ascii="宋体" w:hAnsi="宋体" w:eastAsia="宋体" w:cs="Times New Roman"/>
          <w:color w:val="auto"/>
          <w:sz w:val="24"/>
          <w:szCs w:val="24"/>
          <w:highlight w:val="none"/>
          <w:lang w:val="zh-CN"/>
        </w:rPr>
        <w:t xml:space="preserve">________________</w:t>
      </w:r>
      <w:r/>
    </w:p>
    <w:p>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委托代理人（签字/签章）：</w:t>
      </w:r>
      <w:r>
        <w:rPr>
          <w:rFonts w:hint="eastAsia" w:ascii="宋体" w:hAnsi="宋体" w:eastAsia="宋体" w:cs="Times New Roman"/>
          <w:color w:val="auto"/>
          <w:sz w:val="24"/>
          <w:szCs w:val="24"/>
          <w:highlight w:val="none"/>
          <w:lang w:val="zh-CN"/>
        </w:rPr>
        <w:t xml:space="preserve">________________</w:t>
      </w:r>
      <w:r/>
    </w:p>
    <w:p>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日期：_____年______月______日</w:t>
      </w:r>
      <w:r/>
    </w:p>
    <w:p>
      <w:pPr>
        <w:ind w:firstLine="480"/>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法定代表人（单位负责人）有效期内的身份证</w:t>
      </w:r>
      <w:r>
        <w:rPr>
          <w:rFonts w:hint="eastAsia" w:ascii="宋体" w:hAnsi="宋体" w:eastAsia="宋体" w:cs="Times New Roman"/>
          <w:b/>
          <w:color w:val="auto"/>
          <w:sz w:val="24"/>
          <w:szCs w:val="20"/>
          <w:highlight w:val="none"/>
        </w:rPr>
        <w:t xml:space="preserve">正反面</w:t>
      </w:r>
      <w:r>
        <w:rPr>
          <w:rFonts w:hint="eastAsia" w:ascii="宋体" w:hAnsi="宋体" w:eastAsia="宋体" w:cs="Times New Roman"/>
          <w:color w:val="auto"/>
          <w:sz w:val="24"/>
          <w:szCs w:val="20"/>
          <w:highlight w:val="none"/>
        </w:rPr>
        <w:t xml:space="preserve">电子件：</w:t>
      </w:r>
      <w:r/>
    </w:p>
    <w:tbl>
      <w:tblPr>
        <w:tblStyle w:val="736"/>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委托代理人有效期内的身份证</w:t>
      </w:r>
      <w:r>
        <w:rPr>
          <w:rFonts w:hint="eastAsia" w:ascii="宋体" w:hAnsi="宋体" w:eastAsia="宋体" w:cs="Times New Roman"/>
          <w:b/>
          <w:color w:val="auto"/>
          <w:sz w:val="24"/>
          <w:szCs w:val="20"/>
          <w:highlight w:val="none"/>
        </w:rPr>
        <w:t xml:space="preserve">正反面</w:t>
      </w:r>
      <w:r>
        <w:rPr>
          <w:rFonts w:hint="eastAsia" w:ascii="宋体" w:hAnsi="宋体" w:eastAsia="宋体" w:cs="Times New Roman"/>
          <w:color w:val="auto"/>
          <w:sz w:val="24"/>
          <w:szCs w:val="20"/>
          <w:highlight w:val="none"/>
        </w:rPr>
        <w:t xml:space="preserve">电子件：</w:t>
      </w:r>
      <w:r/>
    </w:p>
    <w:tbl>
      <w:tblPr>
        <w:tblStyle w:val="736"/>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说明：</w:t>
      </w:r>
      <w:r/>
    </w:p>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2.若投标文件中签字之处均为法定代表人（单位负责人）本人签署，则可不提供本《授权委托书》，但须提供《法定代表人（单位负责人）身份证明》。</w:t>
      </w:r>
      <w:r/>
    </w:p>
    <w:p>
      <w:pPr>
        <w:ind w:firstLine="480"/>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0"/>
          <w:highlight w:val="none"/>
        </w:rPr>
        <w:t xml:space="preserve">3.供应商为自然人的情形，可不提供本《授权委托书》。</w:t>
      </w:r>
      <w:r/>
    </w:p>
    <w:p>
      <w:pPr>
        <w:keepNext/>
        <w:spacing w:line="360" w:lineRule="auto"/>
        <w:rPr>
          <w:rFonts w:ascii="Times New Roman" w:hAnsi="Times New Roman" w:eastAsia="黑体" w:cs="Times New Roman"/>
          <w:bCs/>
          <w:color w:val="auto"/>
          <w:sz w:val="32"/>
          <w:szCs w:val="21"/>
          <w:highlight w:val="none"/>
        </w:rPr>
        <w:outlineLvl w:val="1"/>
      </w:pPr>
      <w:r>
        <w:rPr>
          <w:rFonts w:hint="eastAsia"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格式9、商务条款偏离表</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商务条款偏离表</w:t>
      </w:r>
      <w:r/>
    </w:p>
    <w:p>
      <w:pPr>
        <w:ind w:firstLine="480"/>
        <w:spacing w:line="360" w:lineRule="auto"/>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 xml:space="preserve">请逐条对应招标文件“项目需求”等内容要求的商务条件，填写该表。</w:t>
      </w:r>
      <w:r/>
    </w:p>
    <w:tbl>
      <w:tblPr>
        <w:tblStyle w:val="736"/>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091"/>
        <w:gridCol w:w="1559"/>
        <w:gridCol w:w="1938"/>
        <w:gridCol w:w="2031"/>
        <w:gridCol w:w="1655"/>
      </w:tblGrid>
      <w:tr>
        <w:trPr>
          <w:jc w:val="center"/>
        </w:trPr>
        <w:tc>
          <w:tcPr>
            <w:tcW w:w="623" w:type="dxa"/>
            <w:vAlign w:val="center"/>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序号</w:t>
            </w:r>
            <w:r/>
          </w:p>
        </w:tc>
        <w:tc>
          <w:tcPr>
            <w:tcW w:w="1091" w:type="dxa"/>
            <w:vAlign w:val="center"/>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条款</w:t>
            </w:r>
            <w:r/>
          </w:p>
        </w:tc>
        <w:tc>
          <w:tcPr>
            <w:tcW w:w="1559" w:type="dxa"/>
            <w:vAlign w:val="center"/>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采购请求</w:t>
            </w:r>
            <w:r/>
          </w:p>
        </w:tc>
        <w:tc>
          <w:tcPr>
            <w:tcW w:w="1938" w:type="dxa"/>
            <w:vAlign w:val="center"/>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投标响应请求</w:t>
            </w:r>
            <w:r/>
          </w:p>
        </w:tc>
        <w:tc>
          <w:tcPr>
            <w:tcW w:w="2031" w:type="dxa"/>
            <w:vAlign w:val="center"/>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偏离情况</w:t>
            </w:r>
            <w:r/>
          </w:p>
        </w:tc>
        <w:tc>
          <w:tcPr>
            <w:tcW w:w="1655" w:type="dxa"/>
            <w:vAlign w:val="center"/>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偏离说明</w:t>
            </w:r>
            <w:r/>
          </w:p>
        </w:tc>
      </w:tr>
      <w:tr>
        <w:trPr>
          <w:jc w:val="center"/>
        </w:trPr>
        <w:tc>
          <w:tcPr>
            <w:tcW w:w="623" w:type="dxa"/>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p>
        </w:tc>
        <w:tc>
          <w:tcPr>
            <w:tcW w:w="109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r>
      <w:tr>
        <w:trPr>
          <w:jc w:val="center"/>
        </w:trPr>
        <w:tc>
          <w:tcPr>
            <w:tcW w:w="623" w:type="dxa"/>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p>
        </w:tc>
        <w:tc>
          <w:tcPr>
            <w:tcW w:w="109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r>
      <w:tr>
        <w:trPr>
          <w:jc w:val="center"/>
        </w:trPr>
        <w:tc>
          <w:tcPr>
            <w:tcW w:w="623" w:type="dxa"/>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w:t>
            </w:r>
            <w:r/>
          </w:p>
        </w:tc>
        <w:tc>
          <w:tcPr>
            <w:tcW w:w="109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r>
      <w:tr>
        <w:trPr>
          <w:jc w:val="center"/>
        </w:trPr>
        <w:tc>
          <w:tcPr>
            <w:tcW w:w="623" w:type="dxa"/>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w:t>
            </w:r>
            <w:r/>
          </w:p>
        </w:tc>
        <w:tc>
          <w:tcPr>
            <w:tcW w:w="109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r>
      <w:tr>
        <w:trPr>
          <w:jc w:val="center"/>
        </w:trPr>
        <w:tc>
          <w:tcPr>
            <w:tcW w:w="623" w:type="dxa"/>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w:t>
            </w:r>
            <w:r/>
          </w:p>
        </w:tc>
        <w:tc>
          <w:tcPr>
            <w:tcW w:w="109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r>
    </w:tbl>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p>
    <w:p>
      <w:pPr>
        <w:jc w:val="left"/>
        <w:keepNext/>
        <w:spacing w:line="360" w:lineRule="auto"/>
        <w:rPr>
          <w:rFonts w:ascii="黑体" w:hAnsi="黑体" w:eastAsia="黑体" w:cs="宋体"/>
          <w:bCs/>
          <w:color w:val="auto"/>
          <w:sz w:val="36"/>
          <w:szCs w:val="28"/>
          <w:highlight w:val="none"/>
        </w:rPr>
        <w:outlineLvl w:val="1"/>
      </w:pPr>
      <w:r>
        <w:rPr>
          <w:rFonts w:hint="eastAsia" w:ascii="宋体" w:hAnsi="宋体" w:eastAsia="宋体" w:cs="Times New Roman"/>
          <w:color w:val="auto"/>
          <w:sz w:val="24"/>
          <w:szCs w:val="24"/>
          <w:highlight w:val="none"/>
        </w:rPr>
        <w:t xml:space="preserve">格式10、技术参数偏离表</w:t>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t xml:space="preserve">技术参数</w:t>
      </w:r>
      <w:r>
        <w:rPr>
          <w:rFonts w:hint="eastAsia" w:ascii="黑体" w:hAnsi="黑体" w:eastAsia="黑体" w:cs="宋体"/>
          <w:bCs/>
          <w:color w:val="auto"/>
          <w:sz w:val="36"/>
          <w:szCs w:val="28"/>
          <w:highlight w:val="none"/>
        </w:rPr>
        <w:t xml:space="preserve">偏离表</w:t>
      </w:r>
      <w:r/>
    </w:p>
    <w:tbl>
      <w:tblPr>
        <w:tblStyle w:val="736"/>
        <w:tblW w:w="98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824"/>
        <w:gridCol w:w="2716"/>
        <w:gridCol w:w="1930"/>
        <w:gridCol w:w="1248"/>
        <w:gridCol w:w="1540"/>
      </w:tblGrid>
      <w:tr>
        <w:trPr>
          <w:jc w:val="center"/>
        </w:trPr>
        <w:tc>
          <w:tcPr>
            <w:tcW w:w="628" w:type="dxa"/>
            <w:vAlign w:val="center"/>
            <w:textDirection w:val="lrTb"/>
            <w:noWrap w:val="false"/>
          </w:tcPr>
          <w:p>
            <w:pPr>
              <w:jc w:val="center"/>
              <w:spacing w:line="400" w:lineRule="exac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序号</w:t>
            </w:r>
            <w:r/>
          </w:p>
        </w:tc>
        <w:tc>
          <w:tcPr>
            <w:tcW w:w="1824" w:type="dxa"/>
            <w:vAlign w:val="center"/>
            <w:textDirection w:val="lrTb"/>
            <w:noWrap w:val="false"/>
          </w:tcPr>
          <w:p>
            <w:pPr>
              <w:jc w:val="center"/>
              <w:spacing w:line="400" w:lineRule="exac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技术参数要求（逐条填写）</w:t>
            </w:r>
            <w:r/>
          </w:p>
        </w:tc>
        <w:tc>
          <w:tcPr>
            <w:tcW w:w="2716" w:type="dxa"/>
            <w:vAlign w:val="center"/>
            <w:textDirection w:val="lrTb"/>
            <w:noWrap w:val="false"/>
          </w:tcPr>
          <w:p>
            <w:pPr>
              <w:jc w:val="left"/>
              <w:spacing w:line="400" w:lineRule="exac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投标实际参数</w:t>
            </w:r>
            <w:r>
              <w:rPr>
                <w:rFonts w:hint="eastAsia" w:cs="Times New Roman" w:asciiTheme="minorEastAsia" w:hAnsiTheme="minorEastAsia"/>
                <w:bCs/>
                <w:color w:val="auto"/>
                <w:sz w:val="24"/>
                <w:szCs w:val="24"/>
                <w:highlight w:val="none"/>
              </w:rPr>
              <w:t xml:space="preserve">(投标人应按投标实际数据填写，不能照抄招标要求)</w:t>
            </w:r>
            <w:r/>
          </w:p>
        </w:tc>
        <w:tc>
          <w:tcPr>
            <w:tcW w:w="1930" w:type="dxa"/>
            <w:vAlign w:val="center"/>
            <w:textDirection w:val="lrTb"/>
            <w:noWrap w:val="false"/>
          </w:tcPr>
          <w:p>
            <w:pPr>
              <w:jc w:val="center"/>
              <w:spacing w:line="400" w:lineRule="exac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是否偏离</w:t>
            </w:r>
            <w:r/>
          </w:p>
          <w:p>
            <w:pPr>
              <w:jc w:val="center"/>
              <w:spacing w:line="400" w:lineRule="exac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（无偏离/正偏离/负偏离）</w:t>
            </w:r>
            <w:r/>
          </w:p>
        </w:tc>
        <w:tc>
          <w:tcPr>
            <w:tcW w:w="1248" w:type="dxa"/>
            <w:vAlign w:val="center"/>
            <w:textDirection w:val="lrTb"/>
            <w:noWrap w:val="false"/>
          </w:tcPr>
          <w:p>
            <w:pPr>
              <w:jc w:val="center"/>
              <w:spacing w:line="400" w:lineRule="exac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偏离说明</w:t>
            </w:r>
            <w:r/>
          </w:p>
        </w:tc>
        <w:tc>
          <w:tcPr>
            <w:tcW w:w="1540" w:type="dxa"/>
            <w:vAlign w:val="center"/>
            <w:textDirection w:val="lrTb"/>
            <w:noWrap w:val="false"/>
          </w:tcPr>
          <w:p>
            <w:pPr>
              <w:jc w:val="center"/>
              <w:spacing w:line="400" w:lineRule="exact"/>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参数证明材料内容及所在位置</w:t>
            </w:r>
            <w:r/>
          </w:p>
        </w:tc>
      </w:tr>
      <w:tr>
        <w:trPr>
          <w:jc w:val="center"/>
        </w:trPr>
        <w:tc>
          <w:tcPr>
            <w:tcW w:w="62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824"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2716"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93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24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54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r>
      <w:tr>
        <w:trPr>
          <w:jc w:val="center"/>
        </w:trPr>
        <w:tc>
          <w:tcPr>
            <w:tcW w:w="62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824"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2716"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93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24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54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r>
      <w:tr>
        <w:trPr>
          <w:jc w:val="center"/>
        </w:trPr>
        <w:tc>
          <w:tcPr>
            <w:tcW w:w="62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824"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2716"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93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24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54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r>
      <w:tr>
        <w:trPr>
          <w:jc w:val="center"/>
        </w:trPr>
        <w:tc>
          <w:tcPr>
            <w:tcW w:w="62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824"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2716"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93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24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54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r>
      <w:tr>
        <w:trPr>
          <w:jc w:val="center"/>
        </w:trPr>
        <w:tc>
          <w:tcPr>
            <w:tcW w:w="62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824"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2716"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93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24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54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r>
    </w:tbl>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格式11、售后服务承诺书</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售后服务承诺书</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r/>
    </w:p>
    <w:p>
      <w:pPr>
        <w:jc w:val="left"/>
        <w:keepNext/>
        <w:spacing w:line="360" w:lineRule="auto"/>
        <w:rPr>
          <w:rFonts w:ascii="Times New Roman" w:hAnsi="宋体" w:eastAsia="黑体" w:cs="Times New Roman"/>
          <w:b/>
          <w:color w:val="auto"/>
          <w:sz w:val="28"/>
          <w:szCs w:val="21"/>
          <w:highlight w:val="none"/>
        </w:rPr>
        <w:outlineLvl w:val="1"/>
      </w:pPr>
      <w:r>
        <w:rPr>
          <w:rFonts w:hint="eastAsia" w:ascii="宋体" w:hAnsi="宋体" w:eastAsia="宋体" w:cs="Times New Roman"/>
          <w:color w:val="auto"/>
          <w:sz w:val="24"/>
          <w:szCs w:val="24"/>
          <w:highlight w:val="none"/>
        </w:rPr>
        <w:t xml:space="preserve">格式12、安装调试方案</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安装调试方案</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p>
    <w:p>
      <w:pPr>
        <w:jc w:val="left"/>
        <w:keepNext/>
        <w:spacing w:line="360" w:lineRule="auto"/>
        <w:rPr>
          <w:rFonts w:ascii="Times New Roman" w:hAnsi="宋体" w:eastAsia="黑体" w:cs="Times New Roman"/>
          <w:b/>
          <w:color w:val="auto"/>
          <w:sz w:val="28"/>
          <w:szCs w:val="21"/>
          <w:highlight w:val="none"/>
        </w:rPr>
        <w:outlineLvl w:val="1"/>
      </w:pPr>
      <w:r>
        <w:rPr>
          <w:rFonts w:hint="eastAsia" w:ascii="宋体" w:hAnsi="宋体" w:eastAsia="宋体" w:cs="Times New Roman"/>
          <w:color w:val="auto"/>
          <w:sz w:val="24"/>
          <w:szCs w:val="24"/>
          <w:highlight w:val="none"/>
        </w:rPr>
        <w:t xml:space="preserve">格式13、培训方案</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培训方案</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both"/>
        <w:keepNext/>
        <w:spacing w:line="360" w:lineRule="auto"/>
        <w:rPr>
          <w:rFonts w:hint="eastAsia" w:ascii="宋体" w:hAnsi="宋体" w:eastAsia="宋体"/>
          <w:color w:val="auto"/>
          <w:sz w:val="24"/>
          <w:szCs w:val="24"/>
          <w:highlight w:val="none"/>
        </w:rPr>
        <w:outlineLvl w:val="1"/>
      </w:pPr>
      <w:r>
        <w:rPr>
          <w:rFonts w:hint="eastAsia" w:ascii="宋体" w:hAnsi="宋体" w:eastAsia="宋体"/>
          <w:color w:val="auto"/>
          <w:sz w:val="24"/>
          <w:szCs w:val="24"/>
          <w:highlight w:val="none"/>
        </w:rPr>
        <w:t xml:space="preserve">格式14、日常维护方案</w:t>
      </w:r>
      <w:r/>
    </w:p>
    <w:p>
      <w:pPr>
        <w:jc w:val="left"/>
        <w:keepNext/>
        <w:spacing w:line="360" w:lineRule="auto"/>
        <w:rPr>
          <w:rFonts w:hint="eastAsia" w:ascii="宋体" w:hAnsi="宋体" w:eastAsia="宋体"/>
          <w:color w:val="auto"/>
          <w:sz w:val="24"/>
          <w:szCs w:val="24"/>
          <w:highlight w:val="none"/>
        </w:rPr>
        <w:outlineLvl w:val="1"/>
      </w:pPr>
      <w:r>
        <w:rPr>
          <w:rFonts w:hint="eastAsia" w:ascii="宋体" w:hAnsi="宋体" w:eastAsia="宋体"/>
          <w:color w:val="auto"/>
          <w:sz w:val="24"/>
          <w:szCs w:val="24"/>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日常维护方案</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jc w:val="left"/>
        <w:keepNext/>
        <w:spacing w:line="360" w:lineRule="auto"/>
        <w:rPr>
          <w:rFonts w:hint="eastAsia" w:ascii="宋体" w:hAnsi="宋体" w:eastAsia="宋体"/>
          <w:color w:val="auto"/>
          <w:sz w:val="24"/>
          <w:szCs w:val="24"/>
          <w:highlight w:val="none"/>
        </w:rPr>
        <w:outlineLvl w:val="1"/>
      </w:pPr>
      <w:r>
        <w:rPr>
          <w:rFonts w:hint="eastAsia" w:ascii="宋体" w:hAnsi="宋体" w:eastAsia="宋体"/>
          <w:color w:val="auto"/>
          <w:sz w:val="24"/>
          <w:szCs w:val="24"/>
          <w:highlight w:val="none"/>
        </w:rPr>
      </w:r>
      <w:r/>
    </w:p>
    <w:p>
      <w:pPr>
        <w:jc w:val="left"/>
        <w:keepNext/>
        <w:spacing w:line="360" w:lineRule="auto"/>
        <w:rPr>
          <w:rFonts w:hint="eastAsia" w:ascii="宋体" w:hAnsi="宋体" w:eastAsia="宋体" w:cs="Times New Roman"/>
          <w:color w:val="auto"/>
          <w:sz w:val="24"/>
          <w:szCs w:val="24"/>
          <w:highlight w:val="none"/>
          <w:lang w:eastAsia="zh-CN"/>
        </w:rPr>
        <w:outlineLvl w:val="1"/>
      </w:pPr>
      <w:r>
        <w:rPr>
          <w:rFonts w:hint="eastAsia" w:ascii="宋体" w:hAnsi="宋体" w:eastAsia="宋体"/>
          <w:color w:val="auto"/>
          <w:sz w:val="24"/>
          <w:szCs w:val="24"/>
          <w:highlight w:val="none"/>
        </w:rPr>
        <w:t xml:space="preserve">格式1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w:t>
      </w:r>
      <w:r>
        <w:rPr>
          <w:rFonts w:hint="eastAsia" w:ascii="宋体" w:hAnsi="宋体" w:eastAsia="宋体" w:cs="Times New Roman"/>
          <w:color w:val="auto"/>
          <w:sz w:val="24"/>
          <w:szCs w:val="24"/>
          <w:highlight w:val="none"/>
        </w:rPr>
        <w:t xml:space="preserve">类似项目业绩一览表</w:t>
      </w:r>
      <w:r/>
    </w:p>
    <w:p>
      <w:pPr>
        <w:jc w:val="center"/>
        <w:spacing w:line="360" w:lineRule="auto"/>
        <w:tabs>
          <w:tab w:val="left" w:pos="360" w:leader="none"/>
        </w:tabs>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 xml:space="preserve">类似项目业绩一览表</w:t>
      </w:r>
      <w:r/>
    </w:p>
    <w:p>
      <w:pPr>
        <w:jc w:val="left"/>
        <w:spacing w:line="360" w:lineRule="auto"/>
        <w:rPr>
          <w:i w:val="0"/>
          <w:iCs/>
          <w:color w:val="auto"/>
          <w:highlight w:val="none"/>
        </w:rPr>
      </w:pPr>
      <w:r>
        <w:rPr>
          <w:rFonts w:hint="eastAsia" w:ascii="宋体" w:hAnsi="宋体" w:eastAsia="宋体" w:cs="方正仿宋_GBK"/>
          <w:i w:val="0"/>
          <w:iCs/>
          <w:color w:val="auto"/>
          <w:sz w:val="24"/>
          <w:szCs w:val="24"/>
          <w:highlight w:val="none"/>
        </w:rPr>
        <w:t xml:space="preserve">项目名称：      项目编号：      分包号：</w:t>
      </w:r>
      <w:r>
        <w:rPr>
          <w:rFonts w:ascii="宋体" w:hAnsi="宋体" w:eastAsia="宋体" w:cs="Times New Roman"/>
          <w:bCs/>
          <w:i w:val="0"/>
          <w:iCs/>
          <w:color w:val="auto"/>
          <w:sz w:val="24"/>
          <w:szCs w:val="24"/>
          <w:highlight w:val="none"/>
        </w:rPr>
        <w:t xml:space="preserve"> </w:t>
      </w:r>
      <w:r/>
    </w:p>
    <w:tbl>
      <w:tblPr>
        <w:tblStyle w:val="7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bl>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投标人（盖章）：</w:t>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Times New Roman" w:hAnsi="Times New Roman" w:eastAsia="宋体" w:cs="Times New Roman"/>
          <w:i w:val="0"/>
          <w:iCs/>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日期：    年     月     日</w:t>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keepNext/>
        <w:spacing w:line="360" w:lineRule="auto"/>
        <w:rPr>
          <w:rFonts w:ascii="宋体" w:hAnsi="Courier New" w:eastAsia="宋体" w:cs="Times New Roman"/>
          <w:color w:val="auto"/>
          <w:sz w:val="24"/>
          <w:szCs w:val="24"/>
          <w:highlight w:val="none"/>
        </w:rPr>
        <w:outlineLvl w:val="1"/>
      </w:pPr>
      <w:r>
        <w:rPr>
          <w:rFonts w:hint="eastAsia" w:ascii="宋体" w:hAnsi="宋体" w:eastAsia="宋体"/>
          <w:color w:val="auto"/>
          <w:sz w:val="24"/>
          <w:szCs w:val="24"/>
          <w:highlight w:val="none"/>
        </w:rPr>
        <w:t xml:space="preserve">格式1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、财务状况报告及税收、社会保障资金缴纳情况承诺函</w:t>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pStyle w:val="942"/>
        <w:rPr>
          <w:color w:val="auto"/>
          <w:highlight w:val="none"/>
        </w:rPr>
      </w:pPr>
      <w:r>
        <w:rPr>
          <w:color w:val="auto"/>
          <w:highlight w:val="none"/>
        </w:rPr>
      </w:r>
      <w:r/>
    </w:p>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致：</w:t>
      </w:r>
      <w:r>
        <w:rPr>
          <w:rFonts w:hint="eastAsia" w:ascii="宋体" w:hAnsi="宋体" w:eastAsia="宋体" w:cs="Times New Roman"/>
          <w:i/>
          <w:color w:val="auto"/>
          <w:sz w:val="24"/>
          <w:highlight w:val="none"/>
          <w:u w:val="single"/>
        </w:rPr>
        <w:t xml:space="preserve">【采购单位】</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w:t>
      </w:r>
      <w:r>
        <w:rPr>
          <w:rFonts w:hint="eastAsia" w:ascii="宋体" w:hAnsi="宋体" w:eastAsia="宋体" w:cs="Times New Roman"/>
          <w:i/>
          <w:color w:val="auto"/>
          <w:sz w:val="24"/>
          <w:highlight w:val="none"/>
          <w:u w:val="single"/>
        </w:rPr>
        <w:t xml:space="preserve">供应商名称</w:t>
      </w:r>
      <w:r>
        <w:rPr>
          <w:rFonts w:hint="eastAsia" w:ascii="宋体" w:hAnsi="宋体" w:eastAsia="宋体" w:cs="Times New Roman"/>
          <w:color w:val="auto"/>
          <w:sz w:val="24"/>
          <w:highlight w:val="none"/>
        </w:rPr>
        <w:t xml:space="preserve">参加</w:t>
      </w:r>
      <w:r>
        <w:rPr>
          <w:rFonts w:hint="eastAsia" w:ascii="宋体" w:hAnsi="宋体" w:eastAsia="宋体" w:cs="Times New Roman"/>
          <w:i/>
          <w:color w:val="auto"/>
          <w:sz w:val="24"/>
          <w:highlight w:val="none"/>
          <w:u w:val="single"/>
        </w:rPr>
        <w:t xml:space="preserve">【标段名称】</w:t>
      </w:r>
      <w:r>
        <w:rPr>
          <w:rFonts w:hint="eastAsia" w:ascii="宋体" w:hAnsi="宋体" w:eastAsia="宋体" w:cs="Times New Roman"/>
          <w:color w:val="auto"/>
          <w:sz w:val="24"/>
          <w:highlight w:val="none"/>
        </w:rPr>
        <w:t xml:space="preserve">（项目编号：</w:t>
      </w:r>
      <w:r>
        <w:rPr>
          <w:rFonts w:hint="eastAsia" w:ascii="宋体" w:hAnsi="宋体" w:eastAsia="宋体" w:cs="Times New Roman"/>
          <w:i/>
          <w:color w:val="auto"/>
          <w:sz w:val="24"/>
          <w:highlight w:val="none"/>
          <w:u w:val="single"/>
        </w:rPr>
        <w:t xml:space="preserve">【标段编号】</w:t>
      </w:r>
      <w:r>
        <w:rPr>
          <w:rFonts w:hint="eastAsia" w:ascii="宋体" w:hAnsi="宋体" w:eastAsia="宋体" w:cs="Times New Roman"/>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（1）具有良好的商业信誉和健全的财务会计制度（财务状况报告）；</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（2）有依法缴纳税收和社会保障资金的良好记录。</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特此承诺</w:t>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20"/>
        <w:rPr>
          <w:rFonts w:ascii="Calibri" w:hAnsi="Calibri" w:eastAsia="宋体" w:cs="Times New Roman"/>
          <w:color w:val="auto"/>
          <w:highlight w:val="none"/>
        </w:rPr>
      </w:pPr>
      <w:r>
        <w:rPr>
          <w:rFonts w:hint="eastAsia" w:ascii="Calibri" w:hAnsi="Calibri" w:eastAsia="宋体" w:cs="Times New Roman"/>
          <w:color w:val="auto"/>
          <w:highlight w:val="none"/>
        </w:rPr>
        <w:t xml:space="preserve">投标人（盖章）：</w:t>
      </w:r>
      <w:r/>
    </w:p>
    <w:p>
      <w:pPr>
        <w:ind w:firstLine="420"/>
        <w:rPr>
          <w:rFonts w:ascii="Calibri" w:hAnsi="Calibri" w:eastAsia="宋体" w:cs="Times New Roman"/>
          <w:color w:val="auto"/>
          <w:highlight w:val="none"/>
        </w:rPr>
      </w:pPr>
      <w:r>
        <w:rPr>
          <w:rFonts w:hint="eastAsia" w:ascii="Calibri" w:hAnsi="Calibri" w:eastAsia="宋体" w:cs="Times New Roman"/>
          <w:color w:val="auto"/>
          <w:highlight w:val="none"/>
        </w:rPr>
        <w:t xml:space="preserve">法定代表人或委托代理人（签字或盖章）：</w:t>
      </w:r>
      <w:r/>
    </w:p>
    <w:p>
      <w:pPr>
        <w:ind w:firstLine="420"/>
        <w:rPr>
          <w:rFonts w:ascii="宋体" w:hAnsi="宋体" w:eastAsia="宋体" w:cs="Times New Roman"/>
          <w:color w:val="auto"/>
          <w:sz w:val="24"/>
          <w:highlight w:val="none"/>
        </w:rPr>
      </w:pPr>
      <w:r>
        <w:rPr>
          <w:rFonts w:hint="eastAsia" w:ascii="Calibri" w:hAnsi="Calibri" w:eastAsia="宋体" w:cs="Times New Roman"/>
          <w:color w:val="auto"/>
          <w:highlight w:val="none"/>
        </w:rPr>
        <w:t xml:space="preserve">日期：    年     月     日</w:t>
      </w:r>
      <w:r/>
    </w:p>
    <w:p>
      <w:pPr>
        <w:ind w:firstLine="482"/>
        <w:spacing w:line="360" w:lineRule="auto"/>
        <w:rPr>
          <w:rFonts w:ascii="宋体" w:hAnsi="Courier New" w:eastAsia="宋体" w:cs="Times New Roman"/>
          <w:b/>
          <w:color w:val="auto"/>
          <w:sz w:val="24"/>
          <w:szCs w:val="24"/>
          <w:highlight w:val="none"/>
        </w:rPr>
      </w:pPr>
      <w:r>
        <w:rPr>
          <w:rFonts w:ascii="宋体" w:hAnsi="Courier New" w:eastAsia="宋体" w:cs="Times New Roman"/>
          <w:b/>
          <w:color w:val="auto"/>
          <w:sz w:val="24"/>
          <w:szCs w:val="24"/>
          <w:highlight w:val="none"/>
        </w:rPr>
      </w:r>
      <w:r/>
    </w:p>
    <w:p>
      <w:pP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br w:type="page" w:clear="all"/>
      </w:r>
      <w:r/>
    </w:p>
    <w:p>
      <w:pP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r>
      <w:r/>
    </w:p>
    <w:p>
      <w:pPr>
        <w:rPr>
          <w:color w:val="auto"/>
          <w:sz w:val="24"/>
          <w:highlight w:val="none"/>
        </w:rPr>
      </w:pPr>
      <w:r>
        <w:rPr>
          <w:rFonts w:hint="eastAsia" w:ascii="宋体" w:hAnsi="宋体" w:eastAsia="宋体"/>
          <w:color w:val="auto"/>
          <w:sz w:val="24"/>
          <w:szCs w:val="24"/>
          <w:highlight w:val="none"/>
        </w:rPr>
        <w:t xml:space="preserve">格式1</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color w:val="auto"/>
          <w:sz w:val="24"/>
          <w:highlight w:val="none"/>
        </w:rPr>
        <w:t xml:space="preserve">其他材料</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其它材料</w:t>
      </w:r>
      <w:r/>
    </w:p>
    <w:p>
      <w:pPr>
        <w:jc w:val="center"/>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（投标人对招标文件响应有必要提供的材料或评标办法中要求提供的材料）</w:t>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400" w:lineRule="exact"/>
        <w:rPr>
          <w:rFonts w:ascii="宋体" w:hAnsi="宋体" w:eastAsia="宋体" w:cs="Times New Roman"/>
          <w:b/>
          <w:color w:val="auto"/>
          <w:sz w:val="28"/>
          <w:szCs w:val="30"/>
          <w:highlight w:val="none"/>
        </w:rPr>
      </w:pPr>
      <w:r>
        <w:rPr>
          <w:rFonts w:ascii="宋体" w:hAnsi="宋体" w:eastAsia="宋体" w:cs="Times New Roman"/>
          <w:b/>
          <w:color w:val="auto"/>
          <w:sz w:val="28"/>
          <w:szCs w:val="30"/>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FangSong_GB2312" w:hAnsi="Courier New" w:eastAsia="FangSong_GB2312" w:cs="Times New Roman"/>
          <w:color w:val="auto"/>
          <w:spacing w:val="6"/>
          <w:sz w:val="30"/>
          <w:szCs w:val="30"/>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r>
      <w:r/>
    </w:p>
    <w:p>
      <w:pPr>
        <w:jc w:val="left"/>
        <w:widowControl/>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br w:type="page" w:clear="all"/>
      </w:r>
      <w:r/>
    </w:p>
    <w:p>
      <w:pPr>
        <w:jc w:val="center"/>
        <w:keepLines/>
        <w:keepNext/>
        <w:spacing w:line="360" w:lineRule="auto"/>
        <w:rPr>
          <w:rFonts w:ascii="Times New Roman" w:hAnsi="宋体" w:eastAsia="黑体" w:cs="Times New Roman"/>
          <w:b/>
          <w:color w:val="auto"/>
          <w:sz w:val="36"/>
          <w:szCs w:val="20"/>
          <w:highlight w:val="none"/>
        </w:rPr>
        <w:outlineLvl w:val="0"/>
      </w:pPr>
      <w:r/>
      <w:bookmarkStart w:id="17" w:name="_Toc150765438"/>
      <w:r>
        <w:rPr>
          <w:rFonts w:hint="eastAsia" w:ascii="Times New Roman" w:hAnsi="Times New Roman" w:eastAsia="黑体" w:cs="Times New Roman"/>
          <w:b/>
          <w:color w:val="auto"/>
          <w:sz w:val="36"/>
          <w:szCs w:val="20"/>
          <w:highlight w:val="none"/>
        </w:rPr>
        <w:t xml:space="preserve">第五章合同专用条款表</w:t>
      </w:r>
      <w:bookmarkEnd w:id="17"/>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本表是对第三章“政府采购合同格式”的补充和修改。如果两者之间有抵触，以本专用条款表为准。</w:t>
      </w:r>
      <w:r/>
    </w:p>
    <w:tbl>
      <w:tblPr>
        <w:tblStyle w:val="736"/>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8529"/>
      </w:tblGrid>
      <w:tr>
        <w:trPr>
          <w:jc w:val="center"/>
          <w:trHeight w:val="529"/>
        </w:trPr>
        <w:tc>
          <w:tcPr>
            <w:shd w:val="clear" w:color="auto" w:fill="fefefe"/>
            <w:tcW w:w="1070"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条款号</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内容</w:t>
            </w:r>
            <w:r/>
          </w:p>
        </w:tc>
      </w:tr>
      <w:tr>
        <w:trPr>
          <w:jc w:val="center"/>
          <w:trHeight w:val="52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履约保证金：本项目不收取履约保证金。</w:t>
            </w:r>
            <w:r/>
          </w:p>
        </w:tc>
      </w:tr>
      <w:tr>
        <w:trPr>
          <w:jc w:val="center"/>
          <w:trHeight w:val="52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交货期：合同签订后</w:t>
            </w:r>
            <w:r>
              <w:rPr>
                <w:rFonts w:hint="eastAsia" w:ascii="宋体" w:hAnsi="宋体" w:eastAsia="宋体" w:cs="Times New Roman"/>
                <w:b/>
                <w:color w:val="auto"/>
                <w:sz w:val="24"/>
                <w:szCs w:val="24"/>
                <w:highlight w:val="none"/>
                <w:lang w:val="en-US" w:eastAsia="zh-CN"/>
              </w:rPr>
              <w:t xml:space="preserve">15</w:t>
            </w:r>
            <w:r>
              <w:rPr>
                <w:rFonts w:hint="eastAsia" w:ascii="宋体" w:hAnsi="宋体" w:eastAsia="宋体" w:cs="Times New Roman"/>
                <w:b/>
                <w:color w:val="auto"/>
                <w:sz w:val="24"/>
                <w:szCs w:val="24"/>
                <w:highlight w:val="none"/>
              </w:rPr>
              <w:t xml:space="preserve">天内完成供货、安装、调试，直至交付采购人验收合格使用。</w:t>
            </w:r>
            <w:r/>
          </w:p>
        </w:tc>
      </w:tr>
      <w:tr>
        <w:trPr>
          <w:jc w:val="center"/>
          <w:trHeight w:val="1394"/>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p>
        </w:tc>
        <w:tc>
          <w:tcPr>
            <w:shd w:val="clear" w:color="auto" w:fill="fefefe"/>
            <w:tcW w:w="8529"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b/>
                <w:color w:val="auto"/>
                <w:sz w:val="24"/>
                <w:szCs w:val="24"/>
                <w:highlight w:val="none"/>
                <w:lang w:eastAsia="zh-CN"/>
              </w:rPr>
            </w:pPr>
            <w:r>
              <w:rPr>
                <w:rFonts w:hint="eastAsia" w:ascii="宋体" w:hAnsi="宋体"/>
                <w:b/>
                <w:color w:val="auto"/>
                <w:sz w:val="24"/>
                <w:highlight w:val="none"/>
                <w:lang w:eastAsia="zh-CN"/>
              </w:rPr>
              <w:t xml:space="preserve">原厂质保</w:t>
            </w:r>
            <w:r>
              <w:rPr>
                <w:rFonts w:hint="eastAsia" w:ascii="宋体" w:hAnsi="宋体"/>
                <w:b/>
                <w:color w:val="auto"/>
                <w:sz w:val="24"/>
                <w:highlight w:val="none"/>
              </w:rPr>
              <w:t xml:space="preserve">：整机不低于</w:t>
            </w:r>
            <w:r>
              <w:rPr>
                <w:rFonts w:hint="eastAsia" w:ascii="宋体" w:hAnsi="宋体" w:eastAsia="宋体"/>
                <w:b/>
                <w:color w:val="auto"/>
                <w:sz w:val="24"/>
                <w:highlight w:val="none"/>
                <w:lang w:val="en-US" w:eastAsia="zh-CN"/>
              </w:rPr>
              <w:t xml:space="preserve">3</w:t>
            </w:r>
            <w:r>
              <w:rPr>
                <w:rFonts w:hint="eastAsia" w:ascii="宋体" w:hAnsi="宋体"/>
                <w:b/>
                <w:color w:val="auto"/>
                <w:sz w:val="24"/>
                <w:highlight w:val="none"/>
              </w:rPr>
              <w:t xml:space="preserve">年</w:t>
            </w:r>
            <w:r>
              <w:rPr>
                <w:rFonts w:hint="eastAsia" w:ascii="宋体" w:hAnsi="宋体" w:eastAsia="宋体"/>
                <w:b/>
                <w:color w:val="auto"/>
                <w:sz w:val="24"/>
                <w:highlight w:val="none"/>
                <w:lang w:eastAsia="zh-CN"/>
              </w:rPr>
              <w:t xml:space="preserve">；</w:t>
            </w:r>
            <w:r/>
          </w:p>
          <w:p>
            <w:pPr>
              <w:keepLines w:val="0"/>
              <w:keepNext w:val="0"/>
              <w:pageBreakBefore w:val="0"/>
              <w:spacing w:line="240" w:lineRule="auto"/>
              <w:widowControl w:val="off"/>
              <w:rPr>
                <w:rFonts w:ascii="宋体" w:hAnsi="宋体" w:eastAsia="宋体" w:cs="Times New Roman"/>
                <w:color w:val="auto"/>
                <w:sz w:val="24"/>
                <w:szCs w:val="24"/>
                <w:highlight w:val="none"/>
              </w:rPr>
            </w:pPr>
            <w:r>
              <w:rPr>
                <w:rFonts w:hint="eastAsia" w:ascii="宋体" w:hAnsi="宋体"/>
                <w:color w:val="auto"/>
                <w:sz w:val="24"/>
                <w:highlight w:val="none"/>
              </w:rPr>
              <w:t xml:space="preserve">免费质保期间，中标人免费</w:t>
            </w:r>
            <w:r>
              <w:rPr>
                <w:rFonts w:hint="eastAsia" w:ascii="宋体" w:hAnsi="宋体" w:eastAsia="宋体"/>
                <w:color w:val="auto"/>
                <w:sz w:val="24"/>
                <w:highlight w:val="none"/>
                <w:lang w:eastAsia="zh-CN"/>
              </w:rPr>
              <w:t xml:space="preserve">提供设备故障</w:t>
            </w:r>
            <w:r>
              <w:rPr>
                <w:rFonts w:hint="eastAsia" w:ascii="宋体" w:hAnsi="宋体"/>
                <w:color w:val="auto"/>
                <w:sz w:val="24"/>
                <w:highlight w:val="none"/>
              </w:rPr>
              <w:t xml:space="preserve">维修、</w:t>
            </w:r>
            <w:r>
              <w:rPr>
                <w:rFonts w:hint="eastAsia" w:ascii="宋体" w:hAnsi="宋体" w:eastAsia="宋体"/>
                <w:color w:val="auto"/>
                <w:sz w:val="24"/>
                <w:highlight w:val="none"/>
                <w:lang w:eastAsia="zh-CN"/>
              </w:rPr>
              <w:t xml:space="preserve">日常维护、系统升级、</w:t>
            </w:r>
            <w:r>
              <w:rPr>
                <w:rFonts w:hint="eastAsia" w:ascii="宋体" w:hAnsi="宋体"/>
                <w:color w:val="auto"/>
                <w:sz w:val="24"/>
                <w:highlight w:val="none"/>
              </w:rPr>
              <w:t xml:space="preserve">保养、安检、调换等；</w:t>
            </w:r>
            <w:r>
              <w:rPr>
                <w:rFonts w:hint="eastAsia" w:ascii="宋体" w:hAnsi="宋体" w:eastAsia="宋体"/>
                <w:color w:val="auto"/>
                <w:sz w:val="24"/>
                <w:highlight w:val="none"/>
                <w:lang w:eastAsia="zh-CN"/>
              </w:rPr>
              <w:t xml:space="preserve">保修期间包含所有产生的人工、材料费等，</w:t>
            </w:r>
            <w:r>
              <w:rPr>
                <w:rFonts w:hint="eastAsia" w:ascii="宋体" w:hAnsi="宋体"/>
                <w:color w:val="auto"/>
                <w:sz w:val="24"/>
                <w:highlight w:val="none"/>
              </w:rPr>
              <w:t xml:space="preserve">对于采购方人为原因造成的故障，中标人只收取维保成本费用。</w:t>
            </w:r>
            <w:r/>
          </w:p>
        </w:tc>
      </w:tr>
      <w:tr>
        <w:trPr>
          <w:jc w:val="center"/>
          <w:trHeight w:val="1544"/>
        </w:trPr>
        <w:tc>
          <w:tcPr>
            <w:shd w:val="clear" w:color="auto" w:fill="fefefe"/>
            <w:tcW w:w="1070" w:type="dxa"/>
            <w:vAlign w:val="center"/>
            <w:textDirection w:val="lrTb"/>
            <w:noWrap w:val="false"/>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shd w:val="clear" w:color="auto" w:fill="fefefe"/>
            <w:tcW w:w="8529" w:type="dxa"/>
            <w:vAlign w:val="center"/>
            <w:textDirection w:val="lrTb"/>
            <w:noWrap w:val="false"/>
          </w:tcPr>
          <w:p>
            <w:pPr>
              <w:rPr>
                <w:rFonts w:ascii="宋体" w:hAnsi="宋体" w:eastAsia="宋体" w:cs="Times New Roman"/>
                <w:color w:val="auto"/>
                <w:sz w:val="24"/>
                <w:szCs w:val="24"/>
                <w:highlight w:val="none"/>
              </w:rPr>
            </w:pPr>
            <w:r>
              <w:rPr>
                <w:rFonts w:hint="eastAsia" w:ascii="宋体" w:hAnsi="宋体"/>
                <w:b/>
                <w:bCs/>
                <w:color w:val="auto"/>
                <w:sz w:val="24"/>
                <w:highlight w:val="none"/>
              </w:rPr>
              <w:t xml:space="preserve">付款方式</w:t>
            </w:r>
            <w:r>
              <w:rPr>
                <w:rFonts w:hint="eastAsia" w:ascii="宋体" w:hAnsi="宋体"/>
                <w:b/>
                <w:color w:val="auto"/>
                <w:sz w:val="24"/>
                <w:highlight w:val="none"/>
              </w:rPr>
              <w:t xml:space="preserve">：</w:t>
            </w:r>
            <w:r>
              <w:rPr>
                <w:rFonts w:hint="eastAsia" w:ascii="宋体" w:hAnsi="宋体" w:eastAsia="宋体" w:cs="宋体"/>
                <w:color w:val="auto"/>
                <w:sz w:val="24"/>
                <w:szCs w:val="24"/>
                <w:highlight w:val="none"/>
              </w:rPr>
              <w:t xml:space="preserve">到货后中标人负责安装、调试。验收合格后，中标人提供免费保修证明，中标人应向采购人出具符合采购人要求的发票，采购人付款100%。</w:t>
            </w:r>
            <w:r>
              <w:rPr>
                <w:rFonts w:hint="eastAsia" w:cs="宋体" w:asciiTheme="minorEastAsia" w:hAnsiTheme="minorEastAsia"/>
                <w:color w:val="auto"/>
                <w:sz w:val="24"/>
                <w:szCs w:val="24"/>
                <w:highlight w:val="none"/>
              </w:rPr>
              <w:t xml:space="preserve">采购人付款前，中标人应向采购人出具符合采购人要求的发票。</w:t>
            </w:r>
            <w:r/>
          </w:p>
        </w:tc>
      </w:tr>
      <w:tr>
        <w:trPr>
          <w:jc w:val="center"/>
          <w:trHeight w:val="105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违约责任：</w:t>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具体违约条款及其它未尽事宜，将在双方签订合同时议定。</w:t>
            </w:r>
            <w:r/>
          </w:p>
        </w:tc>
      </w:tr>
    </w:tbl>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注：招标文件中标注★号的部分为实质性要求和条件（由采购人根据实际情况设置），投标人必须作出满足或者优于原要求和条件的响应，否则投标无效。</w:t>
      </w:r>
      <w:r/>
    </w:p>
    <w:p>
      <w:pPr>
        <w:jc w:val="center"/>
        <w:keepLines/>
        <w:keepNext/>
        <w:spacing w:line="360" w:lineRule="auto"/>
        <w:rPr>
          <w:rFonts w:ascii="Times New Roman" w:hAnsi="宋体" w:eastAsia="黑体" w:cs="Times New Roman"/>
          <w:color w:val="auto"/>
          <w:sz w:val="36"/>
          <w:szCs w:val="20"/>
          <w:highlight w:val="none"/>
        </w:rPr>
        <w:outlineLvl w:val="0"/>
      </w:pPr>
      <w:r>
        <w:rPr>
          <w:rFonts w:ascii="Times New Roman" w:hAnsi="宋体" w:eastAsia="黑体" w:cs="Times New Roman"/>
          <w:bCs/>
          <w:color w:val="auto"/>
          <w:sz w:val="36"/>
          <w:szCs w:val="20"/>
          <w:highlight w:val="none"/>
        </w:rPr>
        <w:br w:type="page" w:clear="all"/>
      </w:r>
      <w:bookmarkEnd w:id="15"/>
      <w:r/>
      <w:bookmarkEnd w:id="16"/>
      <w:r/>
      <w:bookmarkStart w:id="18" w:name="_Toc513622230"/>
      <w:r/>
      <w:bookmarkStart w:id="19" w:name="_Toc150765439"/>
      <w:r>
        <w:rPr>
          <w:rFonts w:hint="eastAsia" w:ascii="Times New Roman" w:hAnsi="宋体" w:eastAsia="黑体" w:cs="Times New Roman"/>
          <w:color w:val="auto"/>
          <w:sz w:val="36"/>
          <w:szCs w:val="20"/>
          <w:highlight w:val="none"/>
        </w:rPr>
        <w:t xml:space="preserve">第六章项目需求</w:t>
      </w:r>
      <w:bookmarkEnd w:id="18"/>
      <w:r/>
      <w:bookmarkEnd w:id="19"/>
      <w:r/>
      <w:r/>
    </w:p>
    <w:p>
      <w:pPr>
        <w:ind w:firstLine="482"/>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说明：本项目属性为货物，</w:t>
      </w:r>
      <w:r>
        <w:rPr>
          <w:rFonts w:hint="eastAsia" w:ascii="宋体" w:hAnsi="Times New Roman" w:eastAsia="宋体" w:cs="Times New Roman"/>
          <w:b/>
          <w:color w:val="auto"/>
          <w:sz w:val="24"/>
          <w:szCs w:val="21"/>
          <w:highlight w:val="none"/>
        </w:rPr>
        <w:t xml:space="preserve">采购标的对应的中小企业划分标准所属行业为</w:t>
      </w:r>
      <w:r>
        <w:rPr>
          <w:rFonts w:hint="eastAsia" w:ascii="宋体" w:hAnsi="Times New Roman" w:eastAsia="宋体" w:cs="Times New Roman"/>
          <w:b/>
          <w:color w:val="auto"/>
          <w:sz w:val="24"/>
          <w:szCs w:val="21"/>
          <w:highlight w:val="none"/>
          <w:u w:val="single"/>
        </w:rPr>
        <w:t xml:space="preserve">　</w:t>
      </w:r>
      <w:r>
        <w:rPr>
          <w:rFonts w:hint="eastAsia" w:ascii="宋体" w:eastAsia="宋体"/>
          <w:b/>
          <w:color w:val="auto"/>
          <w:sz w:val="24"/>
          <w:szCs w:val="21"/>
          <w:highlight w:val="none"/>
          <w:u w:val="single"/>
        </w:rPr>
        <w:t xml:space="preserve">工业</w:t>
      </w:r>
      <w:r>
        <w:rPr>
          <w:rFonts w:hint="eastAsia" w:ascii="宋体" w:eastAsia="宋体"/>
          <w:b/>
          <w:color w:val="auto"/>
          <w:sz w:val="24"/>
          <w:szCs w:val="21"/>
          <w:highlight w:val="none"/>
          <w:u w:val="single"/>
          <w:lang w:val="en-US" w:eastAsia="zh-CN"/>
        </w:rPr>
        <w:t xml:space="preserve"> </w:t>
      </w:r>
      <w:r>
        <w:rPr>
          <w:rFonts w:hint="eastAsia" w:ascii="宋体" w:hAnsi="Times New Roman" w:eastAsia="宋体" w:cs="Times New Roman"/>
          <w:b/>
          <w:color w:val="auto"/>
          <w:sz w:val="24"/>
          <w:szCs w:val="21"/>
          <w:highlight w:val="none"/>
        </w:rPr>
        <w:t xml:space="preserve">。</w:t>
      </w:r>
      <w:r/>
    </w:p>
    <w:p>
      <w:pPr>
        <w:numPr>
          <w:ilvl w:val="0"/>
          <w:numId w:val="3"/>
        </w:numPr>
        <w:ind w:firstLine="482"/>
        <w:jc w:val="left"/>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本项目需求中标注★号的部分为实质性要求和条件（由采购人根据实际情况设置），投标人必须作出满足或者优于原要求和条件的响应否则投标无效。</w:t>
      </w:r>
      <w:r/>
    </w:p>
    <w:p>
      <w:pPr>
        <w:numPr>
          <w:ilvl w:val="0"/>
          <w:numId w:val="0"/>
        </w:numPr>
        <w:ind w:firstLine="482"/>
        <w:jc w:val="left"/>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技术参数要求投标人应逐一列出所有参数性能配置等偏离情况，并逐条详细标注出佐证材料证明所在位置，未对证明材料标注或标注不明确视为未提供证明材料，除特殊要求自行承诺以外，其他自行承诺符合要求的不予认可。</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、根</w:t>
      </w:r>
      <w:r>
        <w:rPr>
          <w:rFonts w:hint="eastAsia" w:ascii="宋体" w:hAnsi="宋体" w:eastAsia="宋体" w:cs="Times New Roman"/>
          <w:color w:val="auto"/>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spacing w:line="360" w:lineRule="auto"/>
        <w:rPr>
          <w:rFonts w:hint="eastAsia" w:ascii="宋体" w:hAnsi="宋体" w:eastAsia="宋体" w:cs="宋体"/>
          <w:b/>
          <w:color w:val="auto"/>
          <w:sz w:val="24"/>
          <w:szCs w:val="24"/>
          <w:highlight w:val="none"/>
          <w:lang w:eastAsia="zh-CN"/>
        </w:rPr>
      </w:pPr>
      <w:r/>
      <w:bookmarkStart w:id="20" w:name="_Toc513622231"/>
      <w:r/>
      <w:bookmarkStart w:id="21" w:name="_Toc139967217"/>
      <w:r/>
      <w:bookmarkStart w:id="22" w:name="_Toc139966433"/>
      <w:r>
        <w:rPr>
          <w:rFonts w:hint="eastAsia" w:ascii="宋体" w:hAnsi="宋体" w:eastAsia="宋体" w:cs="宋体"/>
          <w:b/>
          <w:color w:val="auto"/>
          <w:sz w:val="24"/>
          <w:szCs w:val="24"/>
          <w:highlight w:val="none"/>
          <w:lang w:eastAsia="zh-CN"/>
        </w:rPr>
        <w:t xml:space="preserve">本项目的核心产品为： 电子胆道镜</w:t>
      </w:r>
      <w:r/>
    </w:p>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一、项目概述</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本次采购的内容为连云港市中医院电子胆道镜采购项目，中标人负责将</w:t>
      </w:r>
      <w:r>
        <w:rPr>
          <w:rFonts w:hint="eastAsia" w:ascii="宋体" w:hAnsi="宋体" w:eastAsia="宋体" w:cs="宋体"/>
          <w:color w:val="auto"/>
          <w:sz w:val="24"/>
          <w:szCs w:val="24"/>
          <w:highlight w:val="none"/>
          <w:lang w:val="en-US" w:eastAsia="zh-CN"/>
        </w:rPr>
        <w:t xml:space="preserve"> 电子胆道镜</w:t>
      </w:r>
      <w:r>
        <w:rPr>
          <w:rFonts w:hint="eastAsia" w:ascii="宋体" w:hAnsi="宋体" w:eastAsia="宋体" w:cs="宋体"/>
          <w:color w:val="auto"/>
          <w:sz w:val="24"/>
          <w:szCs w:val="24"/>
          <w:highlight w:val="none"/>
          <w:lang w:eastAsia="zh-CN"/>
        </w:rPr>
        <w:t xml:space="preserve">运抵采购人指定地点，完成安装，检测、验收合格，交付采购人使用，即交钥匙工程。</w:t>
      </w:r>
      <w:r/>
    </w:p>
    <w:tbl>
      <w:tblPr>
        <w:tblStyle w:val="987"/>
        <w:tblW w:w="94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2"/>
        <w:gridCol w:w="3517"/>
        <w:gridCol w:w="2168"/>
        <w:gridCol w:w="2100"/>
      </w:tblGrid>
      <w:tr>
        <w:trPr>
          <w:trHeight w:val="757"/>
        </w:trPr>
        <w:tc>
          <w:tcPr>
            <w:tcW w:w="1642" w:type="dxa"/>
            <w:vAlign w:val="center"/>
            <w:textDirection w:val="lrTb"/>
            <w:noWrap w:val="false"/>
          </w:tcPr>
          <w:p>
            <w:pPr>
              <w:jc w:val="center"/>
              <w:rPr>
                <w:rFonts w:ascii="宋体" w:hAnsi="Times New Roman" w:eastAsia="宋体" w:cs="Times New Roman"/>
                <w:color w:val="auto"/>
                <w:highlight w:val="none"/>
              </w:rPr>
            </w:pPr>
            <w:r>
              <w:rPr>
                <w:rFonts w:hint="eastAsia" w:ascii="宋体" w:hAnsi="Times New Roman" w:eastAsia="宋体" w:cs="Times New Roman"/>
                <w:color w:val="auto"/>
                <w:highlight w:val="none"/>
              </w:rPr>
              <w:t xml:space="preserve">序号</w:t>
            </w:r>
            <w:r/>
          </w:p>
        </w:tc>
        <w:tc>
          <w:tcPr>
            <w:tcW w:w="3517" w:type="dxa"/>
            <w:vAlign w:val="center"/>
            <w:textDirection w:val="lrTb"/>
            <w:noWrap w:val="false"/>
          </w:tcPr>
          <w:p>
            <w:pPr>
              <w:jc w:val="center"/>
              <w:rPr>
                <w:rFonts w:ascii="宋体" w:hAnsi="Times New Roman" w:eastAsia="宋体" w:cs="Times New Roman"/>
                <w:color w:val="auto"/>
                <w:highlight w:val="none"/>
              </w:rPr>
            </w:pPr>
            <w:r>
              <w:rPr>
                <w:rFonts w:hint="eastAsia" w:ascii="宋体" w:hAnsi="Times New Roman" w:eastAsia="宋体" w:cs="Times New Roman"/>
                <w:color w:val="auto"/>
                <w:highlight w:val="none"/>
              </w:rPr>
              <w:t xml:space="preserve">名称</w:t>
            </w:r>
            <w:r/>
          </w:p>
        </w:tc>
        <w:tc>
          <w:tcPr>
            <w:tcW w:w="2168" w:type="dxa"/>
            <w:vAlign w:val="center"/>
            <w:textDirection w:val="lrTb"/>
            <w:noWrap w:val="false"/>
          </w:tcPr>
          <w:p>
            <w:pPr>
              <w:jc w:val="center"/>
              <w:rPr>
                <w:rFonts w:ascii="宋体" w:hAnsi="Times New Roman" w:eastAsia="宋体" w:cs="Times New Roman"/>
                <w:color w:val="auto"/>
                <w:highlight w:val="none"/>
              </w:rPr>
            </w:pPr>
            <w:r>
              <w:rPr>
                <w:rFonts w:hint="eastAsia" w:ascii="宋体" w:hAnsi="Times New Roman" w:eastAsia="宋体" w:cs="Times New Roman"/>
                <w:color w:val="auto"/>
                <w:highlight w:val="none"/>
              </w:rPr>
              <w:t xml:space="preserve">数量</w:t>
            </w:r>
            <w:r/>
          </w:p>
        </w:tc>
        <w:tc>
          <w:tcPr>
            <w:tcW w:w="2100" w:type="dxa"/>
            <w:vAlign w:val="center"/>
            <w:textDirection w:val="lrTb"/>
            <w:noWrap w:val="false"/>
          </w:tcPr>
          <w:p>
            <w:pPr>
              <w:jc w:val="center"/>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rPr>
              <w:t xml:space="preserve">预</w:t>
            </w:r>
            <w:r>
              <w:rPr>
                <w:rFonts w:hint="eastAsia" w:ascii="宋体" w:hAnsi="Times New Roman" w:eastAsia="宋体" w:cs="Times New Roman"/>
                <w:color w:val="auto"/>
                <w:highlight w:val="none"/>
                <w:lang w:val="en-US" w:eastAsia="zh-CN"/>
              </w:rPr>
              <w:t xml:space="preserve">算</w:t>
            </w:r>
            <w:r/>
          </w:p>
        </w:tc>
      </w:tr>
      <w:tr>
        <w:trPr>
          <w:trHeight w:val="542"/>
        </w:trPr>
        <w:tc>
          <w:tcPr>
            <w:tcW w:w="1642" w:type="dxa"/>
            <w:vAlign w:val="center"/>
            <w:textDirection w:val="lrTb"/>
            <w:noWrap w:val="false"/>
          </w:tcPr>
          <w:p>
            <w:pPr>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 xml:space="preserve">1</w:t>
            </w:r>
            <w:r/>
          </w:p>
        </w:tc>
        <w:tc>
          <w:tcPr>
            <w:tcW w:w="3517" w:type="dxa"/>
            <w:vAlign w:val="center"/>
            <w:textDirection w:val="lrTb"/>
            <w:noWrap w:val="false"/>
          </w:tcPr>
          <w:p>
            <w:pPr>
              <w:jc w:val="center"/>
              <w:rPr>
                <w:rFonts w:hint="eastAsia" w:ascii="宋体" w:hAnsi="Times New Roman" w:eastAsia="宋体" w:cs="Times New Roman"/>
                <w:color w:val="auto"/>
                <w:highlight w:val="none"/>
              </w:rPr>
            </w:pPr>
            <w:r>
              <w:rPr>
                <w:rFonts w:hint="eastAsia" w:ascii="宋体" w:hAnsi="宋体" w:eastAsia="宋体" w:cs="宋体"/>
                <w:color w:val="auto"/>
                <w:sz w:val="24"/>
                <w:szCs w:val="24"/>
                <w:highlight w:val="none"/>
                <w:lang w:val="en-US" w:eastAsia="zh-CN"/>
              </w:rPr>
              <w:t xml:space="preserve"> 电子胆道镜</w:t>
            </w:r>
            <w:r/>
          </w:p>
        </w:tc>
        <w:tc>
          <w:tcPr>
            <w:tcW w:w="2168" w:type="dxa"/>
            <w:vAlign w:val="center"/>
            <w:textDirection w:val="lrTb"/>
            <w:noWrap w:val="false"/>
          </w:tcPr>
          <w:p>
            <w:pPr>
              <w:jc w:val="center"/>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 xml:space="preserve">1套</w:t>
            </w:r>
            <w:r/>
          </w:p>
        </w:tc>
        <w:tc>
          <w:tcPr>
            <w:tcW w:w="2100" w:type="dxa"/>
            <w:vAlign w:val="center"/>
            <w:textDirection w:val="lrTb"/>
            <w:noWrap w:val="false"/>
          </w:tcPr>
          <w:p>
            <w:pPr>
              <w:jc w:val="center"/>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 xml:space="preserve">130万元</w:t>
            </w:r>
            <w:r/>
          </w:p>
        </w:tc>
      </w:tr>
    </w:tbl>
    <w:p>
      <w:pPr>
        <w:ind w:firstLine="420"/>
        <w:widowControl/>
        <w:rPr>
          <w:rFonts w:ascii="宋体" w:hAnsi="Times New Roman" w:eastAsia="宋体" w:cs="Times New Roman"/>
          <w:color w:val="auto"/>
          <w:highlight w:val="none"/>
        </w:rPr>
      </w:pPr>
      <w:r>
        <w:rPr>
          <w:rFonts w:ascii="宋体" w:hAnsi="Times New Roman" w:eastAsia="宋体" w:cs="Times New Roman"/>
          <w:color w:val="auto"/>
          <w:highlight w:val="none"/>
        </w:rPr>
      </w:r>
      <w:r/>
    </w:p>
    <w:p>
      <w:pPr>
        <w:numPr>
          <w:ilvl w:val="0"/>
          <w:numId w:val="0"/>
        </w:numPr>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color w:val="auto"/>
          <w:sz w:val="24"/>
          <w:szCs w:val="24"/>
          <w:highlight w:val="none"/>
          <w:lang w:eastAsia="zh-CN"/>
        </w:rPr>
        <w:t xml:space="preserve">二、技术</w:t>
      </w:r>
      <w:r>
        <w:rPr>
          <w:rFonts w:hint="eastAsia" w:ascii="宋体" w:hAnsi="宋体" w:eastAsia="宋体" w:cs="宋体"/>
          <w:b/>
          <w:bCs/>
          <w:color w:val="auto"/>
          <w:sz w:val="24"/>
          <w:szCs w:val="24"/>
          <w:highlight w:val="none"/>
        </w:rPr>
        <w:t xml:space="preserve">要求</w:t>
      </w:r>
      <w:r>
        <w:rPr>
          <w:rFonts w:hint="eastAsia" w:cs="宋体" w:asciiTheme="minorEastAsia" w:hAnsiTheme="minorEastAsia"/>
          <w:b/>
          <w:color w:val="000000" w:themeColor="text1"/>
          <w:sz w:val="24"/>
          <w:szCs w:val="24"/>
          <w14:textFill>
            <w14:solidFill>
              <w14:schemeClr w14:val="tx1"/>
            </w14:solidFill>
          </w14:textFill>
        </w:rPr>
        <w:t xml:space="preserve">（技术参数要求投标人应逐一列出所有参数性能配置等偏离情况</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同时</w:t>
      </w:r>
      <w:r>
        <w:rPr>
          <w:rFonts w:hint="eastAsia" w:ascii="宋体" w:hAnsi="宋体" w:eastAsia="宋体" w:cs="宋体"/>
          <w:b/>
          <w:bCs/>
          <w:sz w:val="24"/>
          <w:szCs w:val="24"/>
        </w:rPr>
        <w:t xml:space="preserve">提供明确的佐证材料证明（包括但不限于：产品说明书、彩页、检测报告、注册证等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并逐条详细标注出佐证材料证明所在位置，未对证明材料标注或标注不明确视为未提供证明材料，除特殊要求自行承诺以外，其他自行承诺符合要求的不予认可。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sz w:val="24"/>
          <w:szCs w:val="24"/>
          <w:lang w:eastAsia="zh-CN"/>
        </w:rPr>
        <w:t xml:space="preserve">）</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（一）</w:t>
      </w:r>
      <w:r>
        <w:rPr>
          <w:rFonts w:hint="eastAsia" w:ascii="宋体" w:hAnsi="宋体" w:eastAsia="宋体" w:cs="宋体"/>
          <w:b/>
          <w:color w:val="auto"/>
          <w:sz w:val="24"/>
          <w:szCs w:val="24"/>
          <w:highlight w:val="none"/>
        </w:rPr>
        <w:t xml:space="preserve">需求数量：1套；</w:t>
      </w:r>
      <w:r/>
    </w:p>
    <w:p>
      <w:pPr>
        <w:jc w:val="left"/>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（二）</w:t>
      </w:r>
      <w:r>
        <w:rPr>
          <w:rFonts w:hint="eastAsia" w:ascii="宋体" w:hAnsi="宋体" w:eastAsia="宋体" w:cs="宋体"/>
          <w:b/>
          <w:color w:val="auto"/>
          <w:sz w:val="24"/>
          <w:szCs w:val="24"/>
          <w:highlight w:val="none"/>
        </w:rPr>
        <w:t xml:space="preserve">技术</w:t>
      </w:r>
      <w:r>
        <w:rPr>
          <w:rFonts w:hint="eastAsia" w:ascii="宋体" w:hAnsi="宋体" w:eastAsia="宋体" w:cs="宋体"/>
          <w:b/>
          <w:color w:val="auto"/>
          <w:sz w:val="24"/>
          <w:szCs w:val="24"/>
          <w:highlight w:val="none"/>
          <w:lang w:eastAsia="zh-CN"/>
        </w:rPr>
        <w:t xml:space="preserve">参数</w:t>
      </w:r>
      <w:r/>
    </w:p>
    <w:p>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1、内窥镜摄像系统1台</w:t>
      </w:r>
      <w:r/>
    </w:p>
    <w:p>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▲1.1 摄像系统主机可接电子镜和光学镜摄像头； </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 图像输出分辨率3840*2160和1920*1080，具有USB视频存储接口；</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▲1.3 具备4K超高清白光和多光谱成像模式；</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 主机摄像接口：实现双路视频同时输入并能同屏画中画显示，实现同一平台双镜联合；显示画面可以画中画显示或软硬镜分屏显示； </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 主机前面板具有触摸屏，电子镜、光学镜分别具有专用界面，且连接摄像头或电子镜时，可自动匹配相应的操作界面；</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 自适应调光功能：可反馈实现对光源的联动控制，以自适应控制出光功率；</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 具有多种模式可选，有胸腹腔镜等；</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1.8具有多种色调可选,有标准、自然、柔和等；</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1.9摄像主机具有细节增强、色彩增强、暗场增强、去雾增强等模式； </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▲1.10具有内置拍照及录像功能，无需连接刻录机，具有拍照及录像功能，照片及录像的分辨率均可选择3840*2160和1920*1080；</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1.11具有多个数字输出端口，有HDMI、DVI、12G-SDI等；</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1.12具有数字变焦功能，可实现图像的放大缩小；</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1.13系统开机可显示摄像头按钮快捷功能设置，系统界面可显示电子放大、增益和特殊光染色等功能调节状态；</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1.14 制造商须具备电子内窥镜系统二类注册证、光源注册证、硬镜注册证、软镜注册证及ISO13485证书。</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1.15主机、光源、内窥镜均须提交注册证附件；</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▲1.16摄像头分辨率≥3840*2160；</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1.17 摄像头内置4K CMOS；</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1.18摄像头可实现白平衡、亮度调节、录像、拍照、电子放大、色调调节、增强模式切换等功能等不少于7种遥控功能；</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1.19 可通过镜头上的调焦环进行调焦；</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1.20 摄像头防水防尘等级IPX7，可低温等离子消毒； </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1.21电气安全：医用设备电气安全CF级别I类防护；</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2、医用冷光源系统1台</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▲2.1 冷光源与摄像系统主机同品牌，采用LED照明；</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 光亮度可调；</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 测光反馈及光功率自动调整功能：通过光电探测器检测成像光路中指导光强度，实时调整输出光功率。 </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 具有出光防护功能，未插入光纤时光源不输出光；</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2.5具有待机功能，无需频繁开关机，提高光源寿命，冷光源使用寿命≥40000h；</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2.6导光光纤:长度≥3M，光纤束直径≥4.5mm，可高温高压灭菌;</w:t>
      </w:r>
      <w:r/>
    </w:p>
    <w:p>
      <w:pPr>
        <w:numPr>
          <w:ilvl w:val="0"/>
          <w:numId w:val="0"/>
        </w:num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 冷光源使用年限≥10年； （提供铭牌照片或产品说明书）</w:t>
      </w:r>
      <w:r/>
    </w:p>
    <w:p>
      <w:pPr>
        <w:numPr>
          <w:ilvl w:val="0"/>
          <w:numId w:val="4"/>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电子胆道镜2条</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 电子胆道镜与摄像系统主机和冷光源同品牌；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常规电子胆道镜1条，视场角≥120°，工作长度≥360mm，</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插入部可向左旋转120°，向右旋转120°；</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常规电子胆道镜，上弯曲角度≥180°，下弯曲角度≥130°；</w:t>
      </w:r>
      <w:r>
        <w:rPr>
          <w:rFonts w:hint="eastAsia" w:ascii="宋体" w:hAnsi="宋体" w:eastAsia="宋体" w:cs="宋体"/>
          <w:bCs/>
          <w:sz w:val="24"/>
          <w:highlight w:val="none"/>
          <w:lang w:val="en-US" w:eastAsia="zh-CN"/>
        </w:rPr>
        <w:t xml:space="preserve">（提供证明文件）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常规电子胆道镜，插入部头端直径≤</w:t>
      </w:r>
      <w:r>
        <w:rPr>
          <w:rFonts w:hint="eastAsia" w:ascii="宋体" w:hAnsi="宋体" w:eastAsia="宋体" w:cs="宋体"/>
          <w:color w:val="auto"/>
          <w:sz w:val="24"/>
          <w:szCs w:val="24"/>
          <w:highlight w:val="none"/>
          <w:lang w:val="en-US" w:eastAsia="zh-CN"/>
        </w:rPr>
        <w:t xml:space="preserve">4.5mm</w:t>
      </w:r>
      <w:r>
        <w:rPr>
          <w:rFonts w:hint="eastAsia" w:ascii="宋体" w:hAnsi="宋体" w:eastAsia="宋体" w:cs="宋体"/>
          <w:color w:val="auto"/>
          <w:sz w:val="24"/>
          <w:szCs w:val="24"/>
          <w:highlight w:val="none"/>
        </w:rPr>
        <w:t xml:space="preserve">；操作通道≥</w:t>
      </w:r>
      <w:r>
        <w:rPr>
          <w:rFonts w:hint="eastAsia" w:ascii="宋体" w:hAnsi="宋体" w:eastAsia="宋体" w:cs="宋体"/>
          <w:color w:val="auto"/>
          <w:sz w:val="24"/>
          <w:szCs w:val="24"/>
          <w:highlight w:val="none"/>
          <w:lang w:val="en-US" w:eastAsia="zh-CN"/>
        </w:rPr>
        <w:t xml:space="preserve">2.2mm</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超细电子胆道镜1条，视场角≥100°，工作长度≥500mm;</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超细电子胆道镜，插入部可向左旋转120°，向右旋转120°；</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超细电子胆道镜，上弯曲角度≥180°，下弯曲角度≥130°；</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超细电子胆道镜，插入部头端直径≤</w:t>
      </w:r>
      <w:r>
        <w:rPr>
          <w:rFonts w:hint="eastAsia" w:ascii="宋体" w:hAnsi="宋体" w:eastAsia="宋体" w:cs="宋体"/>
          <w:color w:val="auto"/>
          <w:sz w:val="24"/>
          <w:szCs w:val="24"/>
          <w:highlight w:val="none"/>
          <w:lang w:val="en-US" w:eastAsia="zh-CN"/>
        </w:rPr>
        <w:t xml:space="preserve">2.8mm</w:t>
      </w:r>
      <w:r>
        <w:rPr>
          <w:rFonts w:hint="eastAsia" w:ascii="宋体" w:hAnsi="宋体" w:eastAsia="宋体" w:cs="宋体"/>
          <w:color w:val="auto"/>
          <w:sz w:val="24"/>
          <w:szCs w:val="24"/>
          <w:highlight w:val="none"/>
        </w:rPr>
        <w:t xml:space="preserve">；操作通道≥</w:t>
      </w:r>
      <w:r>
        <w:rPr>
          <w:rFonts w:hint="eastAsia" w:ascii="宋体" w:hAnsi="宋体" w:eastAsia="宋体" w:cs="宋体"/>
          <w:color w:val="auto"/>
          <w:sz w:val="24"/>
          <w:szCs w:val="24"/>
          <w:highlight w:val="none"/>
          <w:lang w:val="en-US" w:eastAsia="zh-CN"/>
        </w:rPr>
        <w:t xml:space="preserve">1.2mm</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支持低温等离子灭菌，</w:t>
      </w:r>
      <w:r>
        <w:rPr>
          <w:rFonts w:hint="eastAsia" w:ascii="宋体" w:hAnsi="宋体" w:eastAsia="宋体" w:cs="宋体"/>
          <w:bCs/>
          <w:sz w:val="24"/>
        </w:rPr>
        <w:t xml:space="preserve">每根胆道镜配备配套消毒盒；</w:t>
      </w:r>
      <w:r/>
    </w:p>
    <w:p>
      <w:pPr>
        <w:numPr>
          <w:ilvl w:val="0"/>
          <w:numId w:val="0"/>
        </w:num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4、腹腔内窥镜3条</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▲4.1 内窥镜与摄像系统主机同品牌；</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 同品牌30°硬性光学镜直径≥10mm镜头×2套、30度视野方向，视野角度≥80°，标准型≥320mm，接入主机后可启用细节增强与色彩增强；</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4.3.同品牌30°硬性光学镜可选直径≥5mm镜头，30度视野方向，视野角度≥75°，标准型≥300mm，接入主机后可启用细节增强与色彩增强；</w:t>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sz w:val="24"/>
          <w:szCs w:val="24"/>
          <w:highlight w:val="none"/>
          <w:lang w:val="en-US" w:eastAsia="zh-CN"/>
        </w:rPr>
        <w:t xml:space="preserve">4.4</w:t>
      </w:r>
      <w:r>
        <w:rPr>
          <w:rFonts w:hint="eastAsia" w:ascii="宋体" w:hAnsi="宋体" w:eastAsia="宋体" w:cs="宋体"/>
          <w:bCs/>
          <w:sz w:val="24"/>
          <w:highlight w:val="none"/>
          <w:lang w:val="en-US" w:eastAsia="zh-CN"/>
        </w:rPr>
        <w:t xml:space="preserve">▲可高温高压消毒或低温等离子消毒方式；（提供证明文件）</w:t>
      </w:r>
      <w:r/>
    </w:p>
    <w:p>
      <w:pPr>
        <w:numPr>
          <w:ilvl w:val="0"/>
          <w:numId w:val="0"/>
        </w:numPr>
        <w:spacing w:line="360" w:lineRule="auto"/>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4.5每根内镜配备配套消毒盒；</w:t>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sz w:val="24"/>
          <w:szCs w:val="24"/>
          <w:highlight w:val="none"/>
          <w:lang w:val="en-US" w:eastAsia="zh-CN"/>
        </w:rPr>
        <w:t xml:space="preserve">5、医</w:t>
      </w:r>
      <w:r>
        <w:rPr>
          <w:rFonts w:hint="eastAsia" w:ascii="宋体" w:hAnsi="宋体" w:eastAsia="宋体" w:cs="宋体"/>
          <w:bCs/>
          <w:sz w:val="24"/>
          <w:highlight w:val="none"/>
          <w:lang w:val="en-US" w:eastAsia="zh-CN"/>
        </w:rPr>
        <w:t xml:space="preserve">用监视器2台</w:t>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5.1 分辨率≥3840×2160，尺寸≥32英寸液晶显示屏；</w:t>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5.2  显示屏接口包括：12G-SDI、HDMI、DVI等接口；</w:t>
      </w:r>
      <w:r/>
    </w:p>
    <w:p>
      <w:pPr>
        <w:numPr>
          <w:ilvl w:val="0"/>
          <w:numId w:val="0"/>
        </w:numPr>
        <w:spacing w:line="360" w:lineRule="auto"/>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5.3  显示屏具有IPX1级防水、DICOM/HLG伽玛、BT.2020广色域、HDR</w:t>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6、气腹机1台</w:t>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6.1最大压力设定≥30mmHg，流量可调；</w:t>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▲6.2大流量供气，最大流量≥50L/min；</w:t>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▲6.3最小可调节流速精度≤0.1L/min；</w:t>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6.4具有压力过高感应及自动排气安全功能，漏断气等报警功能；</w:t>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6.5具备加温功能，减少内镜起雾现象；</w:t>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 ▲6.6气腹机与摄像系统主机同品牌；（提供注册证）</w:t>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7、设备专用台车2台，最大承重≥20kg，台车带线缆管理；</w:t>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8、配备腹腔镜器械一套；</w:t>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9、配置清单：</w:t>
      </w:r>
      <w:r/>
    </w:p>
    <w:p>
      <w:pPr>
        <w:numPr>
          <w:ilvl w:val="0"/>
          <w:numId w:val="0"/>
        </w:numPr>
        <w:ind w:firstLine="72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名称</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      单位 </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数量</w:t>
      </w:r>
      <w:r>
        <w:rPr>
          <w:rFonts w:hint="eastAsia" w:ascii="宋体" w:hAnsi="宋体" w:eastAsia="宋体" w:cs="宋体"/>
          <w:bCs/>
          <w:sz w:val="24"/>
          <w:highlight w:val="none"/>
          <w:lang w:val="en-US" w:eastAsia="zh-CN"/>
        </w:rPr>
        <w:tab/>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4K摄像系统主机 </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台      1</w:t>
      </w:r>
      <w:r>
        <w:rPr>
          <w:rFonts w:hint="eastAsia" w:ascii="宋体" w:hAnsi="宋体" w:eastAsia="宋体" w:cs="宋体"/>
          <w:bCs/>
          <w:sz w:val="24"/>
          <w:highlight w:val="none"/>
          <w:lang w:val="en-US" w:eastAsia="zh-CN"/>
        </w:rPr>
        <w:tab/>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4K摄像头</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       个</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    1</w:t>
      </w:r>
      <w:r>
        <w:rPr>
          <w:rFonts w:hint="eastAsia" w:ascii="宋体" w:hAnsi="宋体" w:eastAsia="宋体" w:cs="宋体"/>
          <w:bCs/>
          <w:sz w:val="24"/>
          <w:highlight w:val="none"/>
          <w:lang w:val="en-US" w:eastAsia="zh-CN"/>
        </w:rPr>
        <w:tab/>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冷光源</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           台</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    1</w:t>
      </w:r>
      <w:r>
        <w:rPr>
          <w:rFonts w:hint="eastAsia" w:ascii="宋体" w:hAnsi="宋体" w:eastAsia="宋体" w:cs="宋体"/>
          <w:bCs/>
          <w:sz w:val="24"/>
          <w:highlight w:val="none"/>
          <w:lang w:val="en-US" w:eastAsia="zh-CN"/>
        </w:rPr>
        <w:tab/>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导光束</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           条</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    4</w:t>
      </w:r>
      <w:r>
        <w:rPr>
          <w:rFonts w:hint="eastAsia" w:ascii="宋体" w:hAnsi="宋体" w:eastAsia="宋体" w:cs="宋体"/>
          <w:bCs/>
          <w:sz w:val="24"/>
          <w:highlight w:val="none"/>
          <w:lang w:val="en-US" w:eastAsia="zh-CN"/>
        </w:rPr>
        <w:tab/>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台车</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           台     2</w:t>
      </w:r>
      <w:r>
        <w:rPr>
          <w:rFonts w:hint="eastAsia" w:ascii="宋体" w:hAnsi="宋体" w:eastAsia="宋体" w:cs="宋体"/>
          <w:bCs/>
          <w:sz w:val="24"/>
          <w:highlight w:val="none"/>
          <w:lang w:val="en-US" w:eastAsia="zh-CN"/>
        </w:rPr>
        <w:tab/>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腹腔镜</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           条</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    3</w:t>
      </w:r>
      <w:r>
        <w:rPr>
          <w:rFonts w:hint="eastAsia" w:ascii="宋体" w:hAnsi="宋体" w:eastAsia="宋体" w:cs="宋体"/>
          <w:bCs/>
          <w:sz w:val="24"/>
          <w:highlight w:val="none"/>
          <w:lang w:val="en-US" w:eastAsia="zh-CN"/>
        </w:rPr>
        <w:tab/>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消毒盒      </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    个</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    5</w:t>
      </w:r>
      <w:r>
        <w:rPr>
          <w:rFonts w:hint="eastAsia" w:ascii="宋体" w:hAnsi="宋体" w:eastAsia="宋体" w:cs="宋体"/>
          <w:bCs/>
          <w:sz w:val="24"/>
          <w:highlight w:val="none"/>
          <w:lang w:val="en-US" w:eastAsia="zh-CN"/>
        </w:rPr>
        <w:tab/>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常规电子胆道镜</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 条    1</w:t>
      </w:r>
      <w:r>
        <w:rPr>
          <w:rFonts w:hint="eastAsia" w:ascii="宋体" w:hAnsi="宋体" w:eastAsia="宋体" w:cs="宋体"/>
          <w:bCs/>
          <w:sz w:val="24"/>
          <w:highlight w:val="none"/>
          <w:lang w:val="en-US" w:eastAsia="zh-CN"/>
        </w:rPr>
        <w:tab/>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超细电子胆道镜</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 条 </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lang w:val="en-US" w:eastAsia="zh-CN"/>
        </w:rPr>
        <w:tab/>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气腹机</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            台</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lang w:val="en-US" w:eastAsia="zh-CN"/>
        </w:rPr>
        <w:tab/>
      </w:r>
      <w:r/>
    </w:p>
    <w:p>
      <w:pPr>
        <w:numPr>
          <w:ilvl w:val="0"/>
          <w:numId w:val="0"/>
        </w:numP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4K监视器          台</w:t>
      </w:r>
      <w:r>
        <w:rPr>
          <w:rFonts w:hint="eastAsia" w:ascii="宋体" w:hAnsi="宋体" w:eastAsia="宋体" w:cs="宋体"/>
          <w:bCs/>
          <w:sz w:val="24"/>
          <w:highlight w:val="none"/>
          <w:lang w:val="en-US" w:eastAsia="zh-CN"/>
        </w:rPr>
        <w:tab/>
      </w:r>
      <w:r>
        <w:rPr>
          <w:rFonts w:hint="eastAsia" w:ascii="宋体" w:hAnsi="宋体" w:eastAsia="宋体" w:cs="宋体"/>
          <w:bCs/>
          <w:sz w:val="24"/>
          <w:highlight w:val="none"/>
          <w:lang w:val="en-US" w:eastAsia="zh-CN"/>
        </w:rPr>
        <w:t xml:space="preserve">   2</w:t>
      </w:r>
      <w:r/>
    </w:p>
    <w:p>
      <w:pPr>
        <w:numPr>
          <w:ilvl w:val="0"/>
          <w:numId w:val="0"/>
        </w:numPr>
        <w:spacing w:line="360" w:lineRule="auto"/>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腹腔镜器械        套    1</w:t>
      </w:r>
      <w:r>
        <w:rPr>
          <w:rFonts w:hint="eastAsia" w:ascii="宋体" w:hAnsi="宋体" w:eastAsia="宋体" w:cs="宋体"/>
          <w:bCs/>
          <w:sz w:val="24"/>
          <w:highlight w:val="none"/>
          <w:lang w:val="en-US" w:eastAsia="zh-CN"/>
        </w:rPr>
        <w:tab/>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三、提供配置清单及配件价格；</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四、提供不低于3年免费整机保修。</w:t>
      </w:r>
      <w:r/>
    </w:p>
    <w:p>
      <w:pPr>
        <w:numPr>
          <w:ilvl w:val="0"/>
          <w:numId w:val="0"/>
        </w:numP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五、提供已使用客户名单；</w:t>
      </w:r>
      <w:r/>
    </w:p>
    <w:p>
      <w:pPr>
        <w:numPr>
          <w:ilvl w:val="0"/>
          <w:numId w:val="0"/>
        </w:numPr>
        <w:keepLines w:val="0"/>
        <w:keepNext w:val="0"/>
        <w:pageBreakBefore w:val="0"/>
        <w:spacing w:line="360" w:lineRule="auto"/>
        <w:widowControl w:val="off"/>
        <w:rPr>
          <w:rFonts w:hint="default" w:ascii="Calibri" w:hAnsi="Calibri" w:eastAsia="宋体" w:cs="Times New Roman"/>
          <w:sz w:val="28"/>
          <w:szCs w:val="28"/>
          <w:lang w:val="en-US" w:eastAsia="zh-CN"/>
        </w:rPr>
      </w:pPr>
      <w:r>
        <w:rPr>
          <w:rFonts w:hint="eastAsia" w:ascii="宋体" w:hAnsi="宋体" w:eastAsia="宋体" w:cs="宋体"/>
          <w:b/>
          <w:bCs/>
          <w:color w:val="auto"/>
          <w:sz w:val="24"/>
          <w:szCs w:val="24"/>
          <w:highlight w:val="none"/>
          <w:lang w:val="en-US" w:eastAsia="zh-CN"/>
        </w:rPr>
        <w:t xml:space="preserve">六、提供完善的培训方案</w:t>
      </w:r>
      <w:r>
        <w:rPr>
          <w:rFonts w:hint="eastAsia" w:ascii="Calibri" w:hAnsi="Calibri" w:eastAsia="宋体" w:cs="Times New Roman"/>
          <w:sz w:val="28"/>
          <w:szCs w:val="28"/>
          <w:lang w:val="en-US" w:eastAsia="zh-CN"/>
        </w:rPr>
        <w:t xml:space="preserve">；</w:t>
      </w:r>
      <w:r/>
    </w:p>
    <w:p>
      <w:pPr>
        <w:jc w:val="left"/>
        <w:keepLines w:val="0"/>
        <w:keepNext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、供货要求</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（1）交货期:合同签订后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天内完成供货、安装、调试，直至交付采购人验收合格使用，所有费用包含在本项目报价内。</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（2）设备包装、供货、保管过程中中标人应遵守安全操作制度，严格安全措施落实，承担安全责任。</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（3）严格按国家规定的技术规范标准生产和安装，设备实行“三包”，并明确注明“三包”内容。质保期内的维护更换等费用全部由卖方承担，包括人工、更换配件等费用。</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（4）设备运输、仓储、保管过程中的费用由中标单位承担。</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（5）投标人须提供操作手册,维护手册等。</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八</w:t>
      </w:r>
      <w:r>
        <w:rPr>
          <w:rFonts w:hint="eastAsia" w:ascii="宋体" w:hAnsi="宋体" w:eastAsia="宋体" w:cs="宋体"/>
          <w:b/>
          <w:color w:val="auto"/>
          <w:sz w:val="24"/>
          <w:szCs w:val="24"/>
          <w:highlight w:val="none"/>
        </w:rPr>
        <w:t xml:space="preserve">、安装调试要求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（1）所有货物的款式、设计、版型、颜色需经采购人认可后方可生产供货。</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（2）货物（含配件）应是全新、未使用过的原装合格正品，并保证所提供货物的开箱合格率为100%，外观和内在质量都不得有任何问题。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（3）产品及主要部件均须非停产设备，并提供备件、附件和耗材的供应。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（4）产品及主要部件必须为成熟的产品，须充分考虑产品的使用者和使用环境。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（5）供货时须向采购人提供详细材料一览表（各主要部分用料、规格及厚度、产地证明等），包括产品说明书或产品主要技术资料和性能的详细描述等。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（6）采购人使用货物的任何一部分，当受第三方提出的侵犯其专利权、商标权或工业设计权的投诉时，一切后果由中标人负责。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（7）应将货物送到采购人指定地点，并负责办理运输和装卸，费用由中标人负责。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（8）如未能达到合同要求，采购人有权退货并要求供应商赔偿损失。</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（9）投标人须向采购人提供设备的运行,安装,使用环境要求等。</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（10）在货物到达采购人指定地点后,投标人须在7天内派专业工程师到达现场,提供安装、调试等服务,协助采购人组织验收，并承担相关费用。</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九</w:t>
      </w:r>
      <w:r>
        <w:rPr>
          <w:rFonts w:hint="eastAsia" w:ascii="宋体" w:hAnsi="宋体" w:eastAsia="宋体" w:cs="宋体"/>
          <w:b/>
          <w:color w:val="auto"/>
          <w:sz w:val="24"/>
          <w:szCs w:val="24"/>
          <w:highlight w:val="none"/>
        </w:rPr>
        <w:t xml:space="preserve">、国家或行业相关规范标准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）采用行业标准的不得低于国家标准；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hint="eastAsia" w:ascii="宋体" w:hAnsi="宋体" w:eastAsia="宋体" w:cs="宋体"/>
          <w:color w:val="auto"/>
          <w:sz w:val="24"/>
          <w:szCs w:val="24"/>
          <w:highlight w:val="none"/>
        </w:rPr>
        <w:t xml:space="preserve">）必须通过国家安装规范和验收规范。</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十</w:t>
      </w:r>
      <w:r>
        <w:rPr>
          <w:rFonts w:hint="eastAsia" w:ascii="宋体" w:hAnsi="宋体" w:eastAsia="宋体" w:cs="宋体"/>
          <w:b/>
          <w:color w:val="auto"/>
          <w:sz w:val="24"/>
          <w:szCs w:val="24"/>
          <w:highlight w:val="none"/>
        </w:rPr>
        <w:t xml:space="preserve">、人员配备要求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投标人须为本项目配备安装人员，投标人须为采购人免费提供人员培训，配备人员不得少于一人</w:t>
      </w:r>
      <w:r>
        <w:rPr>
          <w:rFonts w:hint="eastAsia" w:ascii="宋体" w:hAnsi="宋体" w:eastAsia="宋体" w:cs="宋体"/>
          <w:b/>
          <w:color w:val="auto"/>
          <w:sz w:val="24"/>
          <w:szCs w:val="24"/>
          <w:highlight w:val="none"/>
        </w:rPr>
        <w:t xml:space="preserve">。</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十一</w:t>
      </w:r>
      <w:r>
        <w:rPr>
          <w:rFonts w:hint="eastAsia" w:ascii="宋体" w:hAnsi="宋体" w:eastAsia="宋体" w:cs="宋体"/>
          <w:b/>
          <w:color w:val="auto"/>
          <w:sz w:val="24"/>
          <w:szCs w:val="24"/>
          <w:highlight w:val="none"/>
        </w:rPr>
        <w:t xml:space="preserve">、履约验收要求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（2）中标人交货前应对产品作出全面检查和对验收文件进行整理，并列出清单，作为采购人收货验收和使用的技术条件依据，检验的结果应随货物交采购人。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八、培训要求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（1）投标单位须提供院内科室操作培训，院外1-2人操作使用培训，直至科室可熟练使用。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（2）投标人在投标时须对产品质量及服务做出维保承诺，为采购人提供人员培训计划，所需费用含本次报价中。</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九、售后服务要求</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szCs w:val="24"/>
          <w:highlight w:val="none"/>
        </w:rPr>
        <w:t xml:space="preserve">（1）质保期:整机不低于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olor w:val="auto"/>
          <w:sz w:val="24"/>
          <w:highlight w:val="none"/>
        </w:rPr>
        <w:t xml:space="preserve">免费质保期间，中标人免费</w:t>
      </w:r>
      <w:r>
        <w:rPr>
          <w:rFonts w:hint="eastAsia" w:ascii="宋体" w:hAnsi="宋体" w:eastAsia="宋体"/>
          <w:color w:val="auto"/>
          <w:sz w:val="24"/>
          <w:highlight w:val="none"/>
          <w:lang w:eastAsia="zh-CN"/>
        </w:rPr>
        <w:t xml:space="preserve">提供设备故障</w:t>
      </w:r>
      <w:r>
        <w:rPr>
          <w:rFonts w:hint="eastAsia" w:ascii="宋体" w:hAnsi="宋体"/>
          <w:color w:val="auto"/>
          <w:sz w:val="24"/>
          <w:highlight w:val="none"/>
        </w:rPr>
        <w:t xml:space="preserve">维修、</w:t>
      </w:r>
      <w:r>
        <w:rPr>
          <w:rFonts w:hint="eastAsia" w:ascii="宋体" w:hAnsi="宋体" w:eastAsia="宋体"/>
          <w:color w:val="auto"/>
          <w:sz w:val="24"/>
          <w:highlight w:val="none"/>
          <w:lang w:eastAsia="zh-CN"/>
        </w:rPr>
        <w:t xml:space="preserve">日常维护、系统升级、</w:t>
      </w:r>
      <w:r>
        <w:rPr>
          <w:rFonts w:hint="eastAsia" w:ascii="宋体" w:hAnsi="宋体"/>
          <w:color w:val="auto"/>
          <w:sz w:val="24"/>
          <w:highlight w:val="none"/>
        </w:rPr>
        <w:t xml:space="preserve">保养、安检、调换等；</w:t>
      </w:r>
      <w:r>
        <w:rPr>
          <w:rFonts w:hint="eastAsia" w:ascii="宋体" w:hAnsi="宋体" w:eastAsia="宋体"/>
          <w:color w:val="auto"/>
          <w:sz w:val="24"/>
          <w:highlight w:val="none"/>
          <w:lang w:eastAsia="zh-CN"/>
        </w:rPr>
        <w:t xml:space="preserve">保修期间包含所有产生的人工、材料费等，</w:t>
      </w:r>
      <w:r>
        <w:rPr>
          <w:rFonts w:hint="eastAsia" w:ascii="宋体" w:hAnsi="宋体"/>
          <w:color w:val="auto"/>
          <w:sz w:val="24"/>
          <w:highlight w:val="none"/>
        </w:rPr>
        <w:t xml:space="preserve">对于采购方人为原因造成的故障，中标人只收取维保成本费用。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确保设备保修期内开机率为9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%，如设备故障停机率超过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%（一年按365天计算，每年</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天），每超过一天（一天并不意味24小时停机，只要当日发生停机事件，即视为停机一天），保修期延长两周，超过10天，乙方应向甲方每天支付合同金额1%的违约金。</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如设备发生故障，乙方在接到甲方报修电话后30分钟内予以响应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24小时</w:t>
      </w:r>
      <w:r>
        <w:rPr>
          <w:rFonts w:hint="eastAsia" w:ascii="宋体" w:hAnsi="宋体" w:eastAsia="宋体" w:cs="宋体"/>
          <w:color w:val="auto"/>
          <w:sz w:val="24"/>
          <w:szCs w:val="24"/>
          <w:highlight w:val="none"/>
        </w:rPr>
        <w:t xml:space="preserve">上门维修，否则甲方可自行采取必要的措施，由此产生的风险和费用由乙方承担。如遇特殊情况，乙方承诺无法现场解决问题，乙方需提供备机服务保障正常工作。</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无论在保修期内还是保修期外，乙方必须上门维修，乙方工程师来甲方维修本设备，必须事先与甲方</w:t>
      </w:r>
      <w:r>
        <w:rPr>
          <w:rFonts w:hint="eastAsia" w:ascii="宋体" w:hAnsi="宋体" w:eastAsia="宋体" w:cs="宋体"/>
          <w:color w:val="auto"/>
          <w:sz w:val="24"/>
          <w:szCs w:val="24"/>
          <w:highlight w:val="none"/>
          <w:lang w:eastAsia="zh-CN"/>
        </w:rPr>
        <w:t xml:space="preserve">设备处</w:t>
      </w:r>
      <w:r>
        <w:rPr>
          <w:rFonts w:hint="eastAsia" w:ascii="宋体" w:hAnsi="宋体" w:eastAsia="宋体" w:cs="宋体"/>
          <w:color w:val="auto"/>
          <w:sz w:val="24"/>
          <w:szCs w:val="24"/>
          <w:highlight w:val="none"/>
        </w:rPr>
        <w:t xml:space="preserve">取得联系；在维修过程中与甲方工程师共同完成维修工作。否则由此引起的一切责任由乙方负责。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乙方免费提供全套技术资料（维修说明书包括详细电路图、操作说明书及光盘等），如技术资料不全，甲方有权不支付货款。</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十、投标报价要求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包括货物生产（含所有配件、备品备件、专用工具等）、包装、运输（运抵现场）、保险、检测检验、安装、管理费、产品保护、技术服务、税金、利润、相关部门验收、不可预见及其他相关所有费用，除合同价款外，采购人不支付其他任何费用。</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招标文件中所有“▲” 均需提供医疗器械注册证及附件产品技术要求等证明材料，如不能提供视为不满足。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）履约保证金:本项目不收取履约保证金。</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）付款方式：到货后中标人负责安装、调试。验收合格后，中标人提供免费保修证明，中标人应向采购人出具符合采购人要求的发票，采购人付款100%。</w:t>
      </w:r>
      <w:r>
        <w:rPr>
          <w:rFonts w:hint="eastAsia" w:cs="宋体" w:asciiTheme="minorEastAsia" w:hAnsiTheme="minorEastAsia"/>
          <w:color w:val="auto"/>
          <w:sz w:val="24"/>
          <w:szCs w:val="24"/>
          <w:highlight w:val="none"/>
        </w:rPr>
        <w:t xml:space="preserve">采购人付款前，中标人应向采购人出具符合采购人要求的发票。</w:t>
      </w:r>
      <w:r/>
    </w:p>
    <w:p>
      <w:pPr>
        <w:ind w:firstLine="480"/>
        <w:jc w:val="left"/>
        <w:spacing w:line="360" w:lineRule="auto"/>
        <w:rPr>
          <w:rFonts w:hint="eastAsia" w:ascii="宋体" w:hAnsi="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color w:val="auto"/>
          <w:sz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）本项目涉及商品包装和快递包装的，中标人提供产品及相关快递服务的要满足《商品包装政府采购需求标准(试行)》、《快递包装政府采购需求标准(试行)》的相关要求。</w:t>
      </w:r>
      <w:r/>
    </w:p>
    <w:p>
      <w:pPr>
        <w:pStyle w:val="743"/>
        <w:rPr>
          <w:color w:val="auto"/>
          <w:highlight w:val="none"/>
        </w:rPr>
      </w:pPr>
      <w:r>
        <w:rPr>
          <w:color w:val="auto"/>
          <w:highlight w:val="none"/>
        </w:rPr>
        <w:br w:type="page" w:clear="all"/>
      </w:r>
      <w:r/>
    </w:p>
    <w:p>
      <w:pPr>
        <w:pStyle w:val="726"/>
        <w:numPr>
          <w:ilvl w:val="0"/>
          <w:numId w:val="0"/>
        </w:numPr>
        <w:rPr>
          <w:rFonts w:ascii="宋体" w:hAnsi="宋体"/>
          <w:color w:val="auto"/>
          <w:sz w:val="24"/>
          <w:highlight w:val="none"/>
        </w:rPr>
      </w:pPr>
      <w:r/>
      <w:bookmarkStart w:id="23" w:name="_Toc150765440"/>
      <w:r>
        <w:rPr>
          <w:rFonts w:hint="eastAsia"/>
          <w:color w:val="auto"/>
          <w:highlight w:val="none"/>
        </w:rPr>
        <w:t xml:space="preserve">第七章评标办法</w:t>
      </w:r>
      <w:bookmarkEnd w:id="20"/>
      <w:r/>
      <w:bookmarkEnd w:id="23"/>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w:t>
      </w:r>
      <w:r>
        <w:rPr>
          <w:rFonts w:hint="eastAsia" w:ascii="宋体" w:hAnsi="宋体" w:eastAsia="宋体" w:cs="Times New Roman"/>
          <w:b/>
          <w:bCs/>
          <w:color w:val="auto"/>
          <w:sz w:val="24"/>
          <w:szCs w:val="24"/>
          <w:highlight w:val="none"/>
        </w:rPr>
        <w:t xml:space="preserve">评标委员会构成</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本采购项目评标委员会的评委由采购人代表、相关专家组成。</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bCs/>
          <w:color w:val="auto"/>
          <w:sz w:val="24"/>
          <w:szCs w:val="24"/>
          <w:highlight w:val="none"/>
        </w:rPr>
        <w:t xml:space="preserve">评标方法</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w:t>
      </w:r>
      <w:r>
        <w:rPr>
          <w:rFonts w:hint="eastAsia" w:ascii="宋体" w:hAnsi="宋体" w:eastAsia="宋体" w:cs="Times New Roman"/>
          <w:b/>
          <w:bCs/>
          <w:color w:val="auto"/>
          <w:sz w:val="24"/>
          <w:szCs w:val="24"/>
          <w:highlight w:val="none"/>
        </w:rPr>
        <w:t xml:space="preserve">评标原则</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w:t>
      </w:r>
      <w:r>
        <w:rPr>
          <w:rFonts w:hint="eastAsia" w:ascii="宋体" w:hAnsi="宋体" w:eastAsia="宋体" w:cs="Times New Roman"/>
          <w:b/>
          <w:bCs/>
          <w:color w:val="auto"/>
          <w:sz w:val="24"/>
          <w:szCs w:val="24"/>
          <w:highlight w:val="none"/>
        </w:rPr>
        <w:t xml:space="preserve">评标标准</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（二）本项目评分总分为100分，按四舍五入取至小数点后两位。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（三）总得分 =价格分 + 商务技术分 </w:t>
      </w:r>
      <w:r/>
    </w:p>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auto"/>
          <w:sz w:val="24"/>
          <w:szCs w:val="24"/>
          <w:highlight w:val="none"/>
        </w:rPr>
      </w:pPr>
      <w:r>
        <w:rPr>
          <w:rFonts w:hint="eastAsia" w:ascii="宋体" w:hAnsi="宋体" w:eastAsia="宋体" w:cs="Times New Roman"/>
          <w:b/>
          <w:color w:val="auto"/>
          <w:sz w:val="28"/>
          <w:szCs w:val="28"/>
          <w:highlight w:val="none"/>
        </w:rPr>
        <w:t xml:space="preserve">综合评分法</w:t>
      </w:r>
      <w:r/>
    </w:p>
    <w:tbl>
      <w:tblPr>
        <w:tblStyle w:val="736"/>
        <w:tblpPr w:horzAnchor="page" w:tblpX="1405" w:vertAnchor="text" w:tblpY="527" w:leftFromText="180" w:topFromText="0" w:rightFromText="180" w:bottomFromText="0"/>
        <w:tblW w:w="93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7906"/>
      </w:tblGrid>
      <w:tr>
        <w:trPr>
          <w:trHeight w:val="70"/>
        </w:trPr>
        <w:tc>
          <w:tcPr>
            <w:tcW w:w="1404" w:type="dxa"/>
            <w:vAlign w:val="center"/>
            <w:textDirection w:val="lrTb"/>
            <w:noWrap/>
          </w:tcPr>
          <w:p>
            <w:pPr>
              <w:jc w:val="center"/>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906"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评分依据</w:t>
            </w:r>
            <w:r/>
          </w:p>
        </w:tc>
      </w:tr>
      <w:tr>
        <w:trPr>
          <w:trHeight w:val="245"/>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价格分（30分）</w:t>
            </w:r>
            <w:r/>
          </w:p>
        </w:tc>
        <w:tc>
          <w:tcPr>
            <w:tcW w:w="7906" w:type="dxa"/>
            <w:vAlign w:val="center"/>
            <w:textDirection w:val="lrTb"/>
            <w:noWrap/>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采用低价优先法计算，即满足招标文件要求且投标价格最低的投标报价（投标人的最低评审价格）为评标基准价，其价格分为满分。其他投标人的价格分统一按照下列公式计算：</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投标报价得分=（评标基准价/各投标人评审价格）×30分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评标过程中，不得去掉报价中的最高报价和最低报价。结果保留两位小数。</w:t>
            </w:r>
            <w:r/>
          </w:p>
        </w:tc>
      </w:tr>
      <w:tr>
        <w:trPr>
          <w:trHeight w:val="623"/>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完全符合招标文件第六章《项目需求》中“</w:t>
            </w:r>
            <w:r>
              <w:rPr>
                <w:rFonts w:hint="eastAsia" w:ascii="宋体" w:hAnsi="宋体" w:eastAsia="宋体" w:cs="宋体"/>
                <w:color w:val="auto"/>
                <w:sz w:val="24"/>
                <w:szCs w:val="24"/>
                <w:highlight w:val="none"/>
                <w:lang w:eastAsia="zh-CN"/>
              </w:rPr>
              <w:t xml:space="preserve">技术参数</w:t>
            </w:r>
            <w:r>
              <w:rPr>
                <w:rFonts w:hint="eastAsia" w:ascii="宋体" w:hAnsi="宋体" w:eastAsia="宋体" w:cs="宋体"/>
                <w:color w:val="auto"/>
                <w:sz w:val="24"/>
                <w:szCs w:val="24"/>
                <w:highlight w:val="none"/>
              </w:rPr>
              <w:t xml:space="preserve">”响应指标，满足要求的得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cs="宋体"/>
                <w:sz w:val="24"/>
                <w:szCs w:val="24"/>
                <w:highlight w:val="none"/>
              </w:rPr>
              <w:t xml:space="preserve">每一项重要响应指标负偏离（缺、漏项视为负偏离）</w:t>
            </w:r>
            <w:r>
              <w:rPr>
                <w:rFonts w:hint="eastAsia" w:ascii="宋体" w:hAnsi="宋体" w:eastAsia="宋体" w:cs="宋体"/>
                <w:sz w:val="24"/>
                <w:szCs w:val="24"/>
                <w:highlight w:val="none"/>
                <w:lang w:eastAsia="zh-CN"/>
              </w:rPr>
              <w:t xml:space="preserve">扣</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rPr>
              <w:t xml:space="preserve">分；每一项非重要响应指标负偏离（缺、漏项视为负偏离）</w:t>
            </w:r>
            <w:r>
              <w:rPr>
                <w:rFonts w:hint="eastAsia" w:ascii="宋体" w:hAnsi="宋体" w:eastAsia="宋体" w:cs="宋体"/>
                <w:sz w:val="24"/>
                <w:szCs w:val="24"/>
                <w:highlight w:val="none"/>
                <w:lang w:eastAsia="zh-CN"/>
              </w:rPr>
              <w:t xml:space="preserve">扣</w:t>
            </w:r>
            <w:r>
              <w:rPr>
                <w:rFonts w:hint="eastAsia" w:ascii="宋体" w:hAnsi="宋体" w:eastAsia="宋体" w:cs="宋体"/>
                <w:sz w:val="24"/>
                <w:szCs w:val="24"/>
                <w:highlight w:val="none"/>
                <w:lang w:val="en-US" w:eastAsia="zh-CN"/>
              </w:rPr>
              <w:t xml:space="preserve">0.5</w:t>
            </w:r>
            <w:r>
              <w:rPr>
                <w:rFonts w:hint="eastAsia" w:ascii="宋体" w:hAnsi="宋体" w:cs="宋体"/>
                <w:sz w:val="24"/>
                <w:szCs w:val="24"/>
                <w:highlight w:val="none"/>
              </w:rPr>
              <w:t xml:space="preserve">分。</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分,最低得0分。</w:t>
            </w:r>
            <w:r/>
          </w:p>
          <w:p>
            <w:pPr>
              <w:ind w:firstLine="0"/>
              <w:jc w:val="left"/>
              <w:spacing w:line="400" w:lineRule="exact"/>
              <w:widowControl/>
              <w:rPr>
                <w:rFonts w:ascii="宋体" w:hAnsi="宋体" w:cs="宋体"/>
                <w:b/>
                <w:sz w:val="24"/>
                <w:szCs w:val="24"/>
              </w:rPr>
            </w:pPr>
            <w:r>
              <w:rPr>
                <w:rFonts w:hint="eastAsia" w:ascii="宋体" w:hAnsi="宋体" w:cs="宋体"/>
                <w:b/>
                <w:sz w:val="24"/>
                <w:szCs w:val="24"/>
              </w:rPr>
              <w:t xml:space="preserve">备注：招标文件第</w:t>
            </w:r>
            <w:r>
              <w:rPr>
                <w:rFonts w:hint="eastAsia" w:ascii="宋体" w:hAnsi="宋体" w:cs="宋体"/>
                <w:b/>
                <w:sz w:val="24"/>
                <w:szCs w:val="24"/>
                <w:lang w:eastAsia="zh-CN"/>
              </w:rPr>
              <w:t xml:space="preserve">六</w:t>
            </w:r>
            <w:r>
              <w:rPr>
                <w:rFonts w:hint="eastAsia" w:ascii="宋体" w:hAnsi="宋体" w:cs="宋体"/>
                <w:b/>
                <w:sz w:val="24"/>
                <w:szCs w:val="24"/>
              </w:rPr>
              <w:t xml:space="preserve">章《</w:t>
            </w:r>
            <w:r>
              <w:rPr>
                <w:rFonts w:hint="eastAsia" w:ascii="宋体" w:hAnsi="宋体" w:eastAsia="宋体" w:cs="宋体"/>
                <w:color w:val="auto"/>
                <w:sz w:val="24"/>
                <w:szCs w:val="24"/>
                <w:highlight w:val="none"/>
              </w:rPr>
              <w:t xml:space="preserve">项目需求</w:t>
            </w:r>
            <w:r>
              <w:rPr>
                <w:rFonts w:hint="eastAsia" w:ascii="宋体" w:hAnsi="宋体" w:cs="宋体"/>
                <w:b/>
                <w:sz w:val="24"/>
                <w:szCs w:val="24"/>
              </w:rPr>
              <w:t xml:space="preserve">》“</w:t>
            </w:r>
            <w:r>
              <w:rPr>
                <w:rFonts w:hint="eastAsia" w:ascii="宋体" w:hAnsi="宋体" w:eastAsia="宋体" w:cs="宋体"/>
                <w:b/>
                <w:sz w:val="24"/>
                <w:szCs w:val="24"/>
                <w:lang w:eastAsia="zh-CN"/>
              </w:rPr>
              <w:t xml:space="preserve">技术</w:t>
            </w:r>
            <w:r>
              <w:rPr>
                <w:rFonts w:hint="eastAsia" w:ascii="宋体" w:hAnsi="宋体" w:cs="宋体"/>
                <w:b/>
                <w:sz w:val="24"/>
                <w:szCs w:val="24"/>
              </w:rPr>
              <w:t xml:space="preserve">参数要求”中加“</w:t>
            </w:r>
            <w:r>
              <w:rPr>
                <w:rFonts w:hint="eastAsia" w:ascii="宋体" w:hAnsi="宋体" w:cs="宋体"/>
                <w:bCs/>
                <w:color w:val="333333"/>
                <w:sz w:val="24"/>
                <w:szCs w:val="24"/>
              </w:rPr>
              <w:t xml:space="preserve">▲</w:t>
            </w:r>
            <w:r>
              <w:rPr>
                <w:rFonts w:hint="eastAsia" w:ascii="宋体" w:hAnsi="宋体" w:cs="宋体"/>
                <w:b/>
                <w:sz w:val="24"/>
                <w:szCs w:val="24"/>
              </w:rPr>
              <w:t xml:space="preserve">”标志的为重要响应指标，其余为非重要响应指标。</w:t>
            </w:r>
            <w:r/>
          </w:p>
          <w:p>
            <w:pPr>
              <w:jc w:val="left"/>
              <w:spacing w:line="460" w:lineRule="exact"/>
              <w:rPr>
                <w:rFonts w:hint="eastAsia" w:ascii="宋体" w:hAnsi="宋体" w:eastAsia="宋体" w:cs="宋体"/>
                <w:color w:val="auto"/>
                <w:sz w:val="24"/>
                <w:szCs w:val="24"/>
                <w:highlight w:val="none"/>
              </w:rPr>
            </w:pPr>
            <w:r>
              <w:rPr>
                <w:rFonts w:hint="eastAsia" w:cs="宋体" w:asciiTheme="minorEastAsia" w:hAnsiTheme="minorEastAsia"/>
                <w:b/>
                <w:color w:val="000000" w:themeColor="text1"/>
                <w:sz w:val="24"/>
                <w:szCs w:val="24"/>
                <w14:textFill>
                  <w14:solidFill>
                    <w14:schemeClr w14:val="tx1"/>
                  </w14:solidFill>
                </w14:textFill>
              </w:rPr>
              <w:t xml:space="preserve">（技术参数要求投标人应逐一列出所有参数性能配置等偏离情况</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同时</w:t>
            </w:r>
            <w:r>
              <w:rPr>
                <w:rFonts w:hint="eastAsia" w:ascii="宋体" w:hAnsi="宋体" w:eastAsia="宋体" w:cs="宋体"/>
                <w:b/>
                <w:bCs/>
                <w:sz w:val="24"/>
                <w:szCs w:val="24"/>
              </w:rPr>
              <w:t xml:space="preserve">提供明确的佐证材料证明（包括但不限于：产品说明书、彩页、检测报告、注册证等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并逐条详细标注出佐证材料证明所在位置，未对证明材料标注或标注不明确视为未提供证明材料，除特殊要求自行承诺以外，其他自行承诺符合要求的不予认可。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sz w:val="24"/>
                <w:szCs w:val="24"/>
                <w:lang w:eastAsia="zh-CN"/>
              </w:rPr>
              <w:t xml:space="preserve">）</w:t>
            </w:r>
            <w:r/>
          </w:p>
        </w:tc>
      </w:tr>
      <w:tr>
        <w:trPr>
          <w:trHeight w:val="623"/>
        </w:trPr>
        <w:tc>
          <w:tcPr>
            <w:shd w:val="clear" w:color="auto" w:fill="auto"/>
            <w:tcW w:w="1404" w:type="dxa"/>
            <w:vAlign w:val="center"/>
            <w:textDirection w:val="lrTb"/>
            <w:noWrap/>
          </w:tcPr>
          <w:p>
            <w:pPr>
              <w:jc w:val="center"/>
              <w:spacing w:line="4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免费质保期（</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7906" w:type="dxa"/>
            <w:vAlign w:val="center"/>
            <w:textDirection w:val="lrTb"/>
            <w:noWrap/>
          </w:tcPr>
          <w:p>
            <w:pPr>
              <w:jc w:val="left"/>
              <w:spacing w:line="4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根据招标文件中免费质保期的相关要求，</w:t>
            </w:r>
            <w:r>
              <w:rPr>
                <w:rFonts w:hint="eastAsia" w:ascii="宋体" w:hAnsi="宋体" w:eastAsia="宋体" w:cs="宋体"/>
                <w:sz w:val="24"/>
                <w:szCs w:val="24"/>
                <w:lang w:eastAsia="zh-CN"/>
              </w:rPr>
              <w:t xml:space="preserve">在</w:t>
            </w:r>
            <w:r>
              <w:rPr>
                <w:rFonts w:hint="eastAsia" w:ascii="宋体" w:hAnsi="宋体" w:eastAsia="宋体" w:cs="宋体"/>
                <w:sz w:val="24"/>
                <w:szCs w:val="24"/>
              </w:rPr>
              <w:t xml:space="preserve">满足文件要求的基础上每增加1年加</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分。本项最高得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r>
      <w:tr>
        <w:trPr>
          <w:trHeight w:val="973"/>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安装调试方案</w:t>
            </w:r>
            <w:r/>
          </w:p>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投标人提供《安装调试方案》,包含但不限于项目实施计划、人员安排、时间进度和应急保障计划等相关内容：</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方案内容完整，措施科学合理，可实施性强的得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方案内容较完整，措施较科学合理，实施性较强的，得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方案有缺项，未完全包含相关内容，科学性、合理性一般，可实施性一般的，得2分。</w:t>
            </w:r>
            <w:r/>
          </w:p>
          <w:p>
            <w:pPr>
              <w:pStyle w:val="7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1975"/>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投标人提供售后服务方案（承诺）：</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到达故障现场时间以及定期维护、定期回访(注明时间)、保修期外维修时零配件优惠折扣率较大及其他优惠等内容，保养、维修非常便利，得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到达故障现场时间以及定期维护、定期回访、保修期外维修时零配件优惠折扣率及其他优惠等内容，操作使用较为简单，保养、维修较为便利，得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到达故障现场时间以及定期维护、定期回访、保修期外维修时零配件优惠折扣率及其他优惠等内容，操作使用</w:t>
            </w:r>
            <w:r>
              <w:rPr>
                <w:rFonts w:hint="eastAsia" w:ascii="宋体" w:hAnsi="宋体" w:eastAsia="宋体" w:cs="宋体"/>
                <w:color w:val="auto"/>
                <w:sz w:val="24"/>
                <w:szCs w:val="24"/>
                <w:highlight w:val="none"/>
                <w:lang w:eastAsia="zh-CN"/>
              </w:rPr>
              <w:t xml:space="preserve">一般</w:t>
            </w:r>
            <w:r>
              <w:rPr>
                <w:rFonts w:hint="eastAsia" w:ascii="宋体" w:hAnsi="宋体" w:eastAsia="宋体" w:cs="宋体"/>
                <w:color w:val="auto"/>
                <w:sz w:val="24"/>
                <w:szCs w:val="24"/>
                <w:highlight w:val="none"/>
              </w:rPr>
              <w:t xml:space="preserve">简单，保养、维修</w:t>
            </w:r>
            <w:r>
              <w:rPr>
                <w:rFonts w:hint="eastAsia" w:ascii="宋体" w:hAnsi="宋体" w:eastAsia="宋体" w:cs="宋体"/>
                <w:color w:val="auto"/>
                <w:sz w:val="24"/>
                <w:szCs w:val="24"/>
                <w:highlight w:val="none"/>
                <w:lang w:eastAsia="zh-CN"/>
              </w:rPr>
              <w:t xml:space="preserve">一般</w:t>
            </w:r>
            <w:r>
              <w:rPr>
                <w:rFonts w:hint="eastAsia" w:ascii="宋体" w:hAnsi="宋体" w:eastAsia="宋体" w:cs="宋体"/>
                <w:color w:val="auto"/>
                <w:sz w:val="24"/>
                <w:szCs w:val="24"/>
                <w:highlight w:val="none"/>
              </w:rPr>
              <w:t xml:space="preserve">便利，得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到达故障现场时间以及定期维护、定期回访、保修期外维修时零配件优惠折扣率及其他优惠等内容缺项，操作、使用比较复杂，保养、维修不便利，得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7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756"/>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日常维护方案</w:t>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（6分）</w:t>
            </w:r>
            <w:r/>
          </w:p>
        </w:tc>
        <w:tc>
          <w:tcPr>
            <w:tcW w:w="7906" w:type="dxa"/>
            <w:vAlign w:val="center"/>
            <w:textDirection w:val="lrTb"/>
            <w:noWrap/>
          </w:tcPr>
          <w:p>
            <w:pPr>
              <w:jc w:val="left"/>
              <w:spacing w:line="4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供应商针对本项目</w:t>
            </w:r>
            <w:r>
              <w:rPr>
                <w:rFonts w:hint="eastAsia" w:ascii="宋体" w:hAnsi="宋体" w:eastAsia="宋体" w:cs="宋体"/>
                <w:color w:val="auto"/>
                <w:sz w:val="24"/>
                <w:szCs w:val="24"/>
                <w:highlight w:val="none"/>
                <w:lang w:val="en-US" w:eastAsia="zh-CN"/>
              </w:rPr>
              <w:t xml:space="preserve">指定日常维护的方式方法：</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计划内容全面具体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科学合理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可行性、可操作性强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措施完善</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分；</w:t>
            </w:r>
            <w:r/>
          </w:p>
          <w:p>
            <w:pPr>
              <w:jc w:val="left"/>
              <w:spacing w:line="46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计划内容具体，较科学合理，可行性、可操作性较强，措施较完善：4分；</w:t>
            </w:r>
            <w:r/>
          </w:p>
          <w:p>
            <w:pPr>
              <w:jc w:val="left"/>
              <w:spacing w:line="460" w:lineRule="exact"/>
              <w:widowControl/>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计划内容有缺失、可行性、可操作性较差：2分。</w:t>
            </w:r>
            <w:r/>
          </w:p>
          <w:p>
            <w:pPr>
              <w:pStyle w:val="7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2766"/>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投标人提供《培训方案》,包含但不限于培训计划、技术人员能力、时间安排等相关内容：</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方案内容完整，可实施性强的得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方案内容较完整，实施性</w:t>
            </w:r>
            <w:r>
              <w:rPr>
                <w:rFonts w:hint="eastAsia" w:ascii="宋体" w:hAnsi="宋体" w:eastAsia="宋体" w:cs="宋体"/>
                <w:color w:val="auto"/>
                <w:sz w:val="24"/>
                <w:szCs w:val="24"/>
                <w:highlight w:val="none"/>
                <w:lang w:eastAsia="zh-CN"/>
              </w:rPr>
              <w:t xml:space="preserve">一般</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方案有缺项，未完全包含相关内容，可实施性</w:t>
            </w:r>
            <w:r>
              <w:rPr>
                <w:rFonts w:hint="eastAsia" w:ascii="宋体" w:hAnsi="宋体" w:eastAsia="宋体" w:cs="宋体"/>
                <w:color w:val="auto"/>
                <w:sz w:val="24"/>
                <w:szCs w:val="24"/>
                <w:highlight w:val="none"/>
                <w:lang w:eastAsia="zh-CN"/>
              </w:rPr>
              <w:t xml:space="preserve">较差</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7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390"/>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备品备件（</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依据投标文件中备品备件是否齐全、供应是否及时、价格是否合理及后期使用、保养、维护成本等进行评价。</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合理、可行性、针对性强的得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合理、可行性、针对性较强的，得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不合理、可行性、针对性差的得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7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1810"/>
        </w:trPr>
        <w:tc>
          <w:tcPr>
            <w:tcW w:w="1404" w:type="dxa"/>
            <w:vAlign w:val="center"/>
            <w:textDirection w:val="lrTb"/>
            <w:noWrap w:val="false"/>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产品业绩（</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906" w:type="dxa"/>
            <w:vAlign w:val="center"/>
            <w:textDirection w:val="lrTb"/>
            <w:noWrap w:val="false"/>
          </w:tcPr>
          <w:p>
            <w:pPr>
              <w:ind w:left="0" w:right="0" w:firstLine="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提供自202</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年1月1日至今</w:t>
            </w:r>
            <w:r>
              <w:rPr>
                <w:rFonts w:hint="eastAsia" w:ascii="宋体" w:hAnsi="宋体" w:eastAsia="宋体" w:cs="宋体"/>
                <w:color w:val="000000"/>
                <w:sz w:val="24"/>
                <w:lang w:val="en-US" w:eastAsia="zh-CN"/>
              </w:rPr>
              <w:t xml:space="preserve">具有所投</w:t>
            </w:r>
            <w:r>
              <w:rPr>
                <w:rFonts w:ascii="宋体" w:hAnsi="宋体" w:eastAsia="宋体" w:cs="宋体"/>
                <w:color w:val="000000"/>
                <w:sz w:val="24"/>
              </w:rPr>
              <w:t xml:space="preserve">产品业绩（不限于本次投标代理商业绩）</w:t>
            </w:r>
            <w:r>
              <w:rPr>
                <w:rFonts w:hint="eastAsia" w:ascii="宋体" w:hAnsi="宋体" w:eastAsia="宋体" w:cs="宋体"/>
                <w:color w:val="000000"/>
                <w:sz w:val="24"/>
                <w:lang w:val="en-US" w:eastAsia="zh-CN"/>
              </w:rPr>
              <w:t xml:space="preserve">证明</w:t>
            </w:r>
            <w:r>
              <w:rPr>
                <w:rFonts w:ascii="宋体" w:hAnsi="宋体" w:eastAsia="宋体" w:cs="宋体"/>
                <w:color w:val="000000"/>
                <w:sz w:val="24"/>
              </w:rPr>
              <w:t xml:space="preserve">，每</w:t>
            </w:r>
            <w:r>
              <w:rPr>
                <w:rFonts w:hint="eastAsia" w:ascii="宋体" w:hAnsi="宋体" w:eastAsia="宋体" w:cs="宋体"/>
                <w:color w:val="000000"/>
                <w:sz w:val="24"/>
                <w:lang w:eastAsia="zh-CN"/>
              </w:rPr>
              <w:t xml:space="preserve">提供一份</w:t>
            </w:r>
            <w:r>
              <w:rPr>
                <w:rFonts w:ascii="宋体" w:hAnsi="宋体" w:eastAsia="宋体" w:cs="宋体"/>
                <w:color w:val="000000"/>
                <w:sz w:val="24"/>
              </w:rPr>
              <w:t xml:space="preserve">得</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分，满分</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分。</w:t>
            </w:r>
            <w:r/>
          </w:p>
          <w:p>
            <w:pPr>
              <w:pStyle w:val="743"/>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投标文件中提供合同扫描件并加盖投标人公章，</w:t>
            </w:r>
            <w:r>
              <w:rPr>
                <w:rFonts w:ascii="宋体" w:hAnsi="宋体" w:eastAsia="宋体" w:cs="宋体"/>
                <w:color w:val="000000"/>
                <w:sz w:val="24"/>
              </w:rPr>
              <w:t xml:space="preserve">且所提供资料必须能证明是本次投标同款同型号产品</w:t>
            </w:r>
            <w:r>
              <w:rPr>
                <w:rFonts w:hint="eastAsia" w:ascii="宋体" w:hAnsi="宋体" w:eastAsia="宋体" w:cs="宋体"/>
                <w:color w:val="000000"/>
                <w:sz w:val="24"/>
                <w:lang w:eastAsia="zh-CN"/>
              </w:rPr>
              <w:t xml:space="preserve">；</w:t>
            </w:r>
            <w:r>
              <w:rPr>
                <w:rFonts w:hint="eastAsia" w:ascii="宋体" w:hAnsi="宋体" w:eastAsia="宋体" w:cs="宋体"/>
                <w:color w:val="auto"/>
                <w:sz w:val="24"/>
                <w:szCs w:val="24"/>
                <w:highlight w:val="none"/>
              </w:rPr>
              <w:t xml:space="preserve">时间、标的内容以合同为准，否则不得分。</w:t>
            </w:r>
            <w:bookmarkEnd w:id="21"/>
            <w:r/>
            <w:bookmarkEnd w:id="22"/>
            <w:r/>
            <w:r/>
          </w:p>
        </w:tc>
      </w:tr>
    </w:tbl>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auto"/>
          <w:sz w:val="24"/>
          <w:szCs w:val="24"/>
          <w:highlight w:val="none"/>
        </w:rPr>
      </w:pPr>
      <w:r>
        <w:rPr>
          <w:rFonts w:cs="Times New Roman" w:asciiTheme="minorEastAsia" w:hAnsiTheme="minorEastAsia"/>
          <w:b/>
          <w:color w:val="auto"/>
          <w:sz w:val="24"/>
          <w:szCs w:val="24"/>
          <w:highlight w:val="none"/>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MS Mincho">
    <w:panose1 w:val="02020603050405090304"/>
  </w:font>
  <w:font w:name="仿宋">
    <w:panose1 w:val="02010609060101010101"/>
  </w:font>
  <w:font w:name="等线">
    <w:panose1 w:val="02010600030101010101"/>
  </w:font>
  <w:font w:name="Calibri">
    <w:panose1 w:val="020F0502020204030204"/>
  </w:font>
  <w:font w:name="Symbol">
    <w:panose1 w:val="05050102010706020507"/>
  </w:font>
  <w:font w:name="FangSong_GB2312">
    <w:panose1 w:val="02010609060101010101"/>
  </w:font>
  <w:font w:name="Courier New">
    <w:panose1 w:val="02070309020205020404"/>
  </w:font>
  <w:font w:name="金山简黑体">
    <w:panose1 w:val="020B0503020202020204"/>
  </w:font>
  <w:font w:name="Cambria">
    <w:panose1 w:val="02040503050406030204"/>
  </w:font>
  <w:font w:name="Arial">
    <w:panose1 w:val="020B0604020202020204"/>
  </w:font>
  <w:font w:name="华文中宋">
    <w:panose1 w:val="02010600040101010101"/>
  </w:font>
  <w:font w:name="Verdana">
    <w:panose1 w:val="020B0604030504040204"/>
  </w:font>
  <w:font w:name="黑体">
    <w:panose1 w:val="0201060906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t xml:space="preserve">第</w:t>
    </w:r>
    <w:r>
      <w:fldChar w:fldCharType="begin"/>
    </w:r>
    <w:r>
      <w:instrText xml:space="preserve"> PAGE  \* Arabic  \* MERGEFORMAT </w:instrText>
    </w:r>
    <w:r>
      <w:fldChar w:fldCharType="separate"/>
    </w:r>
    <w:r>
      <w:t xml:space="preserve">46</w:t>
    </w:r>
    <w:r>
      <w:fldChar w:fldCharType="end"/>
    </w:r>
    <w:r>
      <w:t xml:space="preserve">页</w:t>
    </w:r>
    <w:r>
      <w:rPr>
        <w:rFonts w:hint="eastAsia"/>
      </w:rPr>
      <w:t xml:space="preserve">共</w:t>
    </w:r>
    <w:r>
      <w:fldChar w:fldCharType="begin"/>
    </w:r>
    <w:r>
      <w:instrText xml:space="preserve"> NUMPAGES  \* Arabic  \* MERGEFORMAT </w:instrText>
    </w:r>
    <w:r>
      <w:fldChar w:fldCharType="separate"/>
    </w:r>
    <w:r>
      <w:t xml:space="preserve">52</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lang w:eastAsia="zh-CN"/>
      </w:rPr>
      <w:t xml:space="preserve">江苏仁禾中衡工程咨询房地产估价有限公司</w:t>
    </w:r>
    <w:r>
      <w:rPr>
        <w:rFonts w:hint="eastAsia"/>
        <w:lang w:val="en-US" w:eastAsia="zh-CN"/>
      </w:rPr>
      <w:t xml:space="preserve">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26"/>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27"/>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728"/>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729"/>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26">
    <w:name w:val="Heading 1"/>
    <w:basedOn w:val="725"/>
    <w:next w:val="725"/>
    <w:link w:val="929"/>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727">
    <w:name w:val="Heading 2"/>
    <w:basedOn w:val="725"/>
    <w:next w:val="725"/>
    <w:link w:val="930"/>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728">
    <w:name w:val="Heading 3"/>
    <w:basedOn w:val="725"/>
    <w:next w:val="725"/>
    <w:link w:val="931"/>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729">
    <w:name w:val="Heading 4"/>
    <w:basedOn w:val="725"/>
    <w:next w:val="725"/>
    <w:link w:val="932"/>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730">
    <w:name w:val="Heading 5"/>
    <w:basedOn w:val="725"/>
    <w:next w:val="725"/>
    <w:link w:val="937"/>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731">
    <w:name w:val="Heading 6"/>
    <w:basedOn w:val="725"/>
    <w:next w:val="725"/>
    <w:link w:val="938"/>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732">
    <w:name w:val="Heading 7"/>
    <w:basedOn w:val="725"/>
    <w:next w:val="725"/>
    <w:link w:val="939"/>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733">
    <w:name w:val="Heading 8"/>
    <w:basedOn w:val="725"/>
    <w:next w:val="725"/>
    <w:link w:val="940"/>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734">
    <w:name w:val="Heading 9"/>
    <w:basedOn w:val="725"/>
    <w:next w:val="725"/>
    <w:link w:val="941"/>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735" w:default="1">
    <w:name w:val="Default Paragraph Font"/>
    <w:uiPriority w:val="1"/>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toc 7"/>
    <w:basedOn w:val="725"/>
    <w:next w:val="725"/>
    <w:uiPriority w:val="39"/>
    <w:unhideWhenUsed/>
    <w:qFormat/>
    <w:pPr>
      <w:ind w:left="1701" w:right="0" w:firstLine="0"/>
      <w:spacing w:after="57"/>
    </w:pPr>
  </w:style>
  <w:style w:type="paragraph" w:styleId="738">
    <w:name w:val="Normal Indent"/>
    <w:basedOn w:val="725"/>
    <w:uiPriority w:val="0"/>
    <w:qFormat/>
    <w:pPr>
      <w:jc w:val="left"/>
    </w:pPr>
    <w:rPr>
      <w:rFonts w:ascii="Times New Roman" w:hAnsi="Times New Roman" w:eastAsia="宋体" w:cs="Times New Roman"/>
      <w:spacing w:val="-35"/>
      <w:szCs w:val="24"/>
    </w:rPr>
  </w:style>
  <w:style w:type="paragraph" w:styleId="739">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Document Map"/>
    <w:basedOn w:val="725"/>
    <w:link w:val="952"/>
    <w:uiPriority w:val="99"/>
    <w:semiHidden/>
    <w:unhideWhenUsed/>
    <w:qFormat/>
    <w:rPr>
      <w:rFonts w:ascii="宋体" w:eastAsia="宋体"/>
      <w:sz w:val="18"/>
      <w:szCs w:val="18"/>
    </w:rPr>
  </w:style>
  <w:style w:type="paragraph" w:styleId="741">
    <w:name w:val="annotation text"/>
    <w:basedOn w:val="725"/>
    <w:link w:val="944"/>
    <w:uiPriority w:val="0"/>
    <w:qFormat/>
    <w:pPr>
      <w:ind w:firstLine="922"/>
      <w:jc w:val="left"/>
      <w:spacing w:line="360" w:lineRule="auto"/>
    </w:pPr>
    <w:rPr>
      <w:rFonts w:ascii="Times New Roman" w:hAnsi="Times New Roman" w:eastAsia="宋体" w:cs="Times New Roman"/>
      <w:szCs w:val="24"/>
    </w:rPr>
  </w:style>
  <w:style w:type="paragraph" w:styleId="742">
    <w:name w:val="Body Text 3"/>
    <w:basedOn w:val="725"/>
    <w:link w:val="955"/>
    <w:uiPriority w:val="0"/>
    <w:qFormat/>
    <w:pPr>
      <w:spacing w:after="120"/>
    </w:pPr>
    <w:rPr>
      <w:rFonts w:ascii="Times New Roman" w:hAnsi="Times New Roman" w:eastAsia="宋体" w:cs="Times New Roman"/>
      <w:sz w:val="16"/>
      <w:szCs w:val="16"/>
    </w:rPr>
  </w:style>
  <w:style w:type="paragraph" w:styleId="743">
    <w:name w:val="Body Text"/>
    <w:basedOn w:val="725"/>
    <w:next w:val="725"/>
    <w:uiPriority w:val="0"/>
    <w:qFormat/>
    <w:rPr>
      <w:rFonts w:ascii="金山简黑体" w:hAnsi="Courier New" w:eastAsia="金山简黑体"/>
      <w:b/>
      <w:spacing w:val="-8"/>
      <w:sz w:val="44"/>
      <w:szCs w:val="20"/>
    </w:rPr>
  </w:style>
  <w:style w:type="paragraph" w:styleId="744">
    <w:name w:val="Body Text Indent"/>
    <w:basedOn w:val="725"/>
    <w:link w:val="956"/>
    <w:uiPriority w:val="0"/>
    <w:qFormat/>
    <w:pPr>
      <w:ind w:firstLine="640"/>
      <w:spacing w:line="500" w:lineRule="exact"/>
      <w:tabs>
        <w:tab w:val="left" w:pos="675" w:leader="none"/>
      </w:tabs>
    </w:pPr>
    <w:rPr>
      <w:rFonts w:ascii="FangSong_GB2312" w:hAnsi="Times New Roman" w:eastAsia="FangSong_GB2312" w:cs="Times New Roman"/>
      <w:sz w:val="32"/>
      <w:szCs w:val="24"/>
    </w:rPr>
  </w:style>
  <w:style w:type="paragraph" w:styleId="745">
    <w:name w:val="List 2"/>
    <w:basedOn w:val="725"/>
    <w:uiPriority w:val="0"/>
    <w:qFormat/>
    <w:pPr>
      <w:ind w:left="840" w:hanging="420"/>
    </w:pPr>
    <w:rPr>
      <w:rFonts w:ascii="隶书" w:hAnsi="Times New Roman" w:eastAsia="FangSong_GB2312" w:cs="Times New Roman"/>
      <w:color w:val="000000"/>
      <w:sz w:val="32"/>
      <w:szCs w:val="20"/>
    </w:rPr>
  </w:style>
  <w:style w:type="paragraph" w:styleId="746">
    <w:name w:val="toc 5"/>
    <w:basedOn w:val="725"/>
    <w:next w:val="725"/>
    <w:uiPriority w:val="39"/>
    <w:unhideWhenUsed/>
    <w:qFormat/>
    <w:pPr>
      <w:ind w:left="1134" w:right="0" w:firstLine="0"/>
      <w:spacing w:after="57"/>
    </w:pPr>
  </w:style>
  <w:style w:type="paragraph" w:styleId="747">
    <w:name w:val="toc 3"/>
    <w:basedOn w:val="725"/>
    <w:next w:val="725"/>
    <w:uiPriority w:val="39"/>
    <w:unhideWhenUsed/>
    <w:qFormat/>
    <w:pPr>
      <w:ind w:left="420" w:firstLine="922"/>
      <w:jc w:val="left"/>
      <w:spacing w:line="360" w:lineRule="auto"/>
    </w:pPr>
    <w:rPr>
      <w:rFonts w:ascii="Calibri" w:hAnsi="Calibri" w:eastAsia="宋体" w:cs="Times New Roman"/>
      <w:sz w:val="20"/>
      <w:szCs w:val="20"/>
    </w:rPr>
  </w:style>
  <w:style w:type="paragraph" w:styleId="748">
    <w:name w:val="Plain Text"/>
    <w:basedOn w:val="725"/>
    <w:link w:val="934"/>
    <w:uiPriority w:val="0"/>
    <w:qFormat/>
    <w:pPr>
      <w:ind w:firstLine="922"/>
      <w:spacing w:line="360" w:lineRule="auto"/>
    </w:pPr>
    <w:rPr>
      <w:rFonts w:ascii="宋体" w:hAnsi="Courier New"/>
    </w:rPr>
  </w:style>
  <w:style w:type="paragraph" w:styleId="749">
    <w:name w:val="toc 8"/>
    <w:basedOn w:val="725"/>
    <w:next w:val="725"/>
    <w:uiPriority w:val="39"/>
    <w:unhideWhenUsed/>
    <w:qFormat/>
    <w:pPr>
      <w:ind w:left="1984" w:right="0" w:firstLine="0"/>
      <w:spacing w:after="57"/>
    </w:pPr>
  </w:style>
  <w:style w:type="paragraph" w:styleId="750">
    <w:name w:val="Date"/>
    <w:basedOn w:val="725"/>
    <w:next w:val="725"/>
    <w:link w:val="957"/>
    <w:uiPriority w:val="0"/>
    <w:qFormat/>
    <w:pPr>
      <w:ind w:left="100"/>
    </w:pPr>
    <w:rPr>
      <w:rFonts w:ascii="FangSong_GB2312" w:hAnsi="Times New Roman" w:eastAsia="FangSong_GB2312" w:cs="Times New Roman"/>
      <w:sz w:val="32"/>
      <w:szCs w:val="24"/>
    </w:rPr>
  </w:style>
  <w:style w:type="paragraph" w:styleId="751">
    <w:name w:val="Body Text Indent 2"/>
    <w:basedOn w:val="725"/>
    <w:link w:val="958"/>
    <w:uiPriority w:val="0"/>
    <w:qFormat/>
    <w:pPr>
      <w:ind w:firstLine="645"/>
      <w:spacing w:line="440" w:lineRule="exact"/>
    </w:pPr>
    <w:rPr>
      <w:rFonts w:ascii="Times New Roman" w:hAnsi="Times New Roman" w:eastAsia="FangSong_GB2312" w:cs="Times New Roman"/>
      <w:sz w:val="32"/>
      <w:szCs w:val="24"/>
    </w:rPr>
  </w:style>
  <w:style w:type="paragraph" w:styleId="752">
    <w:name w:val="endnote text"/>
    <w:basedOn w:val="725"/>
    <w:link w:val="923"/>
    <w:uiPriority w:val="99"/>
    <w:semiHidden/>
    <w:unhideWhenUsed/>
    <w:qFormat/>
    <w:pPr>
      <w:spacing w:after="0" w:line="240" w:lineRule="auto"/>
    </w:pPr>
    <w:rPr>
      <w:sz w:val="20"/>
    </w:rPr>
  </w:style>
  <w:style w:type="paragraph" w:styleId="753">
    <w:name w:val="Balloon Text"/>
    <w:basedOn w:val="725"/>
    <w:link w:val="945"/>
    <w:uiPriority w:val="0"/>
    <w:semiHidden/>
    <w:qFormat/>
    <w:pPr>
      <w:ind w:firstLine="922"/>
    </w:pPr>
    <w:rPr>
      <w:rFonts w:ascii="Times New Roman" w:hAnsi="Times New Roman" w:eastAsia="宋体" w:cs="Times New Roman"/>
      <w:sz w:val="18"/>
      <w:szCs w:val="18"/>
    </w:rPr>
  </w:style>
  <w:style w:type="paragraph" w:styleId="754">
    <w:name w:val="Footer"/>
    <w:basedOn w:val="725"/>
    <w:link w:val="960"/>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55">
    <w:name w:val="Header"/>
    <w:basedOn w:val="725"/>
    <w:link w:val="961"/>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56">
    <w:name w:val="toc 1"/>
    <w:basedOn w:val="725"/>
    <w:next w:val="725"/>
    <w:uiPriority w:val="39"/>
    <w:qFormat/>
    <w:pPr>
      <w:ind w:firstLine="922"/>
      <w:jc w:val="left"/>
      <w:spacing w:before="120" w:line="360" w:lineRule="auto"/>
    </w:pPr>
    <w:rPr>
      <w:rFonts w:ascii="Calibri" w:hAnsi="Calibri" w:eastAsia="宋体" w:cs="Times New Roman"/>
      <w:b/>
      <w:bCs/>
      <w:i/>
      <w:iCs/>
      <w:sz w:val="24"/>
      <w:szCs w:val="24"/>
    </w:rPr>
  </w:style>
  <w:style w:type="paragraph" w:styleId="757">
    <w:name w:val="toc 4"/>
    <w:basedOn w:val="725"/>
    <w:next w:val="725"/>
    <w:uiPriority w:val="39"/>
    <w:unhideWhenUsed/>
    <w:qFormat/>
    <w:pPr>
      <w:ind w:left="850" w:right="0" w:firstLine="0"/>
      <w:spacing w:after="57"/>
    </w:pPr>
  </w:style>
  <w:style w:type="paragraph" w:styleId="758">
    <w:name w:val="Subtitle"/>
    <w:basedOn w:val="725"/>
    <w:next w:val="725"/>
    <w:link w:val="933"/>
    <w:uiPriority w:val="0"/>
    <w:qFormat/>
    <w:pPr>
      <w:ind w:firstLine="922"/>
      <w:jc w:val="center"/>
      <w:spacing w:before="240" w:after="60" w:line="312" w:lineRule="auto"/>
      <w:outlineLvl w:val="1"/>
    </w:pPr>
    <w:rPr>
      <w:rFonts w:ascii="Cambria" w:hAnsi="Cambria"/>
      <w:b/>
      <w:bCs/>
      <w:sz w:val="32"/>
      <w:szCs w:val="32"/>
    </w:rPr>
  </w:style>
  <w:style w:type="paragraph" w:styleId="759">
    <w:name w:val="footnote text"/>
    <w:basedOn w:val="725"/>
    <w:link w:val="922"/>
    <w:uiPriority w:val="99"/>
    <w:semiHidden/>
    <w:unhideWhenUsed/>
    <w:qFormat/>
    <w:pPr>
      <w:spacing w:after="40" w:line="240" w:lineRule="auto"/>
    </w:pPr>
    <w:rPr>
      <w:sz w:val="18"/>
    </w:rPr>
  </w:style>
  <w:style w:type="paragraph" w:styleId="760">
    <w:name w:val="toc 6"/>
    <w:basedOn w:val="725"/>
    <w:next w:val="725"/>
    <w:uiPriority w:val="39"/>
    <w:unhideWhenUsed/>
    <w:qFormat/>
    <w:pPr>
      <w:ind w:left="1417" w:right="0" w:firstLine="0"/>
      <w:spacing w:after="57"/>
    </w:pPr>
  </w:style>
  <w:style w:type="paragraph" w:styleId="761">
    <w:name w:val="Body Text Indent 3"/>
    <w:basedOn w:val="725"/>
    <w:link w:val="962"/>
    <w:uiPriority w:val="0"/>
    <w:qFormat/>
    <w:pPr>
      <w:ind w:firstLine="800"/>
      <w:spacing w:line="360" w:lineRule="auto"/>
    </w:pPr>
    <w:rPr>
      <w:rFonts w:ascii="FangSong_GB2312" w:hAnsi="华文中宋" w:eastAsia="FangSong_GB2312" w:cs="Times New Roman"/>
      <w:sz w:val="32"/>
      <w:szCs w:val="32"/>
    </w:rPr>
  </w:style>
  <w:style w:type="paragraph" w:styleId="762">
    <w:name w:val="table of figures"/>
    <w:basedOn w:val="725"/>
    <w:next w:val="725"/>
    <w:uiPriority w:val="99"/>
    <w:unhideWhenUsed/>
    <w:qFormat/>
    <w:pPr>
      <w:spacing w:after="0" w:afterAutospacing="0"/>
    </w:pPr>
  </w:style>
  <w:style w:type="paragraph" w:styleId="763">
    <w:name w:val="toc 2"/>
    <w:basedOn w:val="725"/>
    <w:next w:val="725"/>
    <w:uiPriority w:val="39"/>
    <w:unhideWhenUsed/>
    <w:qFormat/>
    <w:pPr>
      <w:ind w:left="210" w:firstLine="922"/>
      <w:jc w:val="left"/>
      <w:spacing w:before="120" w:line="360" w:lineRule="auto"/>
    </w:pPr>
    <w:rPr>
      <w:rFonts w:ascii="Calibri" w:hAnsi="Calibri" w:eastAsia="宋体" w:cs="Times New Roman"/>
      <w:b/>
      <w:bCs/>
      <w:sz w:val="22"/>
    </w:rPr>
  </w:style>
  <w:style w:type="paragraph" w:styleId="764">
    <w:name w:val="toc 9"/>
    <w:basedOn w:val="725"/>
    <w:next w:val="725"/>
    <w:uiPriority w:val="39"/>
    <w:unhideWhenUsed/>
    <w:qFormat/>
    <w:pPr>
      <w:ind w:left="2268" w:right="0" w:firstLine="0"/>
      <w:spacing w:after="57"/>
    </w:pPr>
  </w:style>
  <w:style w:type="paragraph" w:styleId="765">
    <w:name w:val="Body Text 2"/>
    <w:basedOn w:val="725"/>
    <w:link w:val="963"/>
    <w:uiPriority w:val="0"/>
    <w:qFormat/>
    <w:pPr>
      <w:jc w:val="center"/>
    </w:pPr>
    <w:rPr>
      <w:rFonts w:ascii="Times New Roman" w:hAnsi="Times New Roman" w:eastAsia="宋体" w:cs="Times New Roman"/>
      <w:szCs w:val="24"/>
    </w:rPr>
  </w:style>
  <w:style w:type="paragraph" w:styleId="766">
    <w:name w:val="HTML Preformatted"/>
    <w:basedOn w:val="725"/>
    <w:link w:val="946"/>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767">
    <w:name w:val="Normal (Web)"/>
    <w:basedOn w:val="725"/>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768">
    <w:name w:val="index 1"/>
    <w:basedOn w:val="725"/>
    <w:next w:val="725"/>
    <w:uiPriority w:val="0"/>
    <w:qFormat/>
    <w:pPr>
      <w:ind w:firstLine="200"/>
      <w:spacing w:line="360" w:lineRule="auto"/>
    </w:pPr>
    <w:rPr>
      <w:rFonts w:ascii="Times New Roman" w:hAnsi="Times New Roman" w:eastAsia="宋体" w:cs="Times New Roman"/>
      <w:szCs w:val="24"/>
    </w:rPr>
  </w:style>
  <w:style w:type="paragraph" w:styleId="769">
    <w:name w:val="Title"/>
    <w:basedOn w:val="725"/>
    <w:next w:val="725"/>
    <w:link w:val="790"/>
    <w:uiPriority w:val="10"/>
    <w:qFormat/>
    <w:pPr>
      <w:contextualSpacing/>
      <w:spacing w:before="300" w:after="200"/>
    </w:pPr>
    <w:rPr>
      <w:sz w:val="48"/>
      <w:szCs w:val="48"/>
    </w:rPr>
  </w:style>
  <w:style w:type="paragraph" w:styleId="770">
    <w:name w:val="annotation subject"/>
    <w:basedOn w:val="741"/>
    <w:next w:val="741"/>
    <w:link w:val="951"/>
    <w:uiPriority w:val="0"/>
    <w:semiHidden/>
    <w:unhideWhenUsed/>
    <w:qFormat/>
    <w:pPr>
      <w:ind w:firstLine="0"/>
      <w:spacing w:line="240" w:lineRule="auto"/>
    </w:pPr>
    <w:rPr>
      <w:rFonts w:asciiTheme="minorHAnsi" w:hAnsiTheme="minorHAnsi" w:eastAsiaTheme="minorEastAsia" w:cstheme="minorBidi"/>
      <w:b/>
      <w:bCs/>
      <w:szCs w:val="22"/>
    </w:rPr>
  </w:style>
  <w:style w:type="paragraph" w:styleId="771">
    <w:name w:val="Body Text First Indent"/>
    <w:uiPriority w:val="0"/>
    <w:qFormat/>
    <w:pPr>
      <w:ind w:firstLine="420"/>
      <w:jc w:val="both"/>
      <w:spacing w:after="120"/>
      <w:widowControl w:val="off"/>
    </w:pPr>
    <w:rPr>
      <w:rFonts w:hint="default" w:ascii="Times New Roman" w:hAnsi="Times New Roman" w:eastAsia="仿宋" w:cs="Times New Roman"/>
      <w:b/>
      <w:bCs/>
      <w:color w:val="ff0000"/>
      <w:sz w:val="21"/>
      <w:szCs w:val="24"/>
      <w:lang w:val="zh-CN"/>
    </w:rPr>
  </w:style>
  <w:style w:type="table" w:styleId="772">
    <w:name w:val="Table Grid"/>
    <w:basedOn w:val="736"/>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uiPriority w:val="0"/>
    <w:qFormat/>
    <w:rPr>
      <w:b/>
      <w:bCs/>
    </w:rPr>
  </w:style>
  <w:style w:type="character" w:styleId="774">
    <w:name w:val="endnote reference"/>
    <w:basedOn w:val="735"/>
    <w:uiPriority w:val="99"/>
    <w:semiHidden/>
    <w:unhideWhenUsed/>
    <w:qFormat/>
    <w:rPr>
      <w:vertAlign w:val="superscript"/>
    </w:rPr>
  </w:style>
  <w:style w:type="character" w:styleId="775">
    <w:name w:val="page number"/>
    <w:uiPriority w:val="0"/>
    <w:qFormat/>
  </w:style>
  <w:style w:type="character" w:styleId="776">
    <w:name w:val="FollowedHyperlink"/>
    <w:uiPriority w:val="0"/>
    <w:unhideWhenUsed/>
    <w:qFormat/>
    <w:rPr>
      <w:color w:val="800080"/>
      <w:u w:val="single"/>
    </w:rPr>
  </w:style>
  <w:style w:type="character" w:styleId="777">
    <w:name w:val="Hyperlink"/>
    <w:uiPriority w:val="99"/>
    <w:qFormat/>
    <w:rPr>
      <w:color w:val="0000ff"/>
      <w:u w:val="single"/>
    </w:rPr>
  </w:style>
  <w:style w:type="character" w:styleId="778">
    <w:name w:val="annotation reference"/>
    <w:uiPriority w:val="0"/>
    <w:qFormat/>
    <w:rPr>
      <w:sz w:val="21"/>
      <w:szCs w:val="21"/>
    </w:rPr>
  </w:style>
  <w:style w:type="character" w:styleId="779">
    <w:name w:val="footnote reference"/>
    <w:basedOn w:val="735"/>
    <w:uiPriority w:val="99"/>
    <w:unhideWhenUsed/>
    <w:qFormat/>
    <w:rPr>
      <w:vertAlign w:val="superscript"/>
    </w:rPr>
  </w:style>
  <w:style w:type="character" w:styleId="780" w:customStyle="1">
    <w:name w:val="Heading 1 Char"/>
    <w:basedOn w:val="735"/>
    <w:uiPriority w:val="9"/>
    <w:qFormat/>
    <w:rPr>
      <w:rFonts w:ascii="Arial" w:hAnsi="Arial" w:eastAsia="Arial" w:cs="Arial"/>
      <w:sz w:val="40"/>
      <w:szCs w:val="40"/>
    </w:rPr>
  </w:style>
  <w:style w:type="character" w:styleId="781" w:customStyle="1">
    <w:name w:val="Heading 2 Char"/>
    <w:basedOn w:val="735"/>
    <w:uiPriority w:val="9"/>
    <w:qFormat/>
    <w:rPr>
      <w:rFonts w:ascii="Arial" w:hAnsi="Arial" w:eastAsia="Arial" w:cs="Arial"/>
      <w:sz w:val="34"/>
    </w:rPr>
  </w:style>
  <w:style w:type="character" w:styleId="782" w:customStyle="1">
    <w:name w:val="Heading 3 Char"/>
    <w:basedOn w:val="735"/>
    <w:uiPriority w:val="9"/>
    <w:qFormat/>
    <w:rPr>
      <w:rFonts w:ascii="Arial" w:hAnsi="Arial" w:eastAsia="Arial" w:cs="Arial"/>
      <w:sz w:val="30"/>
      <w:szCs w:val="30"/>
    </w:rPr>
  </w:style>
  <w:style w:type="character" w:styleId="783" w:customStyle="1">
    <w:name w:val="Heading 4 Char"/>
    <w:basedOn w:val="735"/>
    <w:uiPriority w:val="9"/>
    <w:qFormat/>
    <w:rPr>
      <w:rFonts w:ascii="Arial" w:hAnsi="Arial" w:eastAsia="Arial" w:cs="Arial"/>
      <w:b/>
      <w:bCs/>
      <w:sz w:val="26"/>
      <w:szCs w:val="26"/>
    </w:rPr>
  </w:style>
  <w:style w:type="character" w:styleId="784" w:customStyle="1">
    <w:name w:val="Heading 5 Char"/>
    <w:basedOn w:val="735"/>
    <w:uiPriority w:val="9"/>
    <w:qFormat/>
    <w:rPr>
      <w:rFonts w:ascii="Arial" w:hAnsi="Arial" w:eastAsia="Arial" w:cs="Arial"/>
      <w:b/>
      <w:bCs/>
      <w:sz w:val="24"/>
      <w:szCs w:val="24"/>
    </w:rPr>
  </w:style>
  <w:style w:type="character" w:styleId="785" w:customStyle="1">
    <w:name w:val="Heading 6 Char"/>
    <w:basedOn w:val="735"/>
    <w:uiPriority w:val="9"/>
    <w:qFormat/>
    <w:rPr>
      <w:rFonts w:ascii="Arial" w:hAnsi="Arial" w:eastAsia="Arial" w:cs="Arial"/>
      <w:b/>
      <w:bCs/>
      <w:sz w:val="22"/>
      <w:szCs w:val="22"/>
    </w:rPr>
  </w:style>
  <w:style w:type="character" w:styleId="786" w:customStyle="1">
    <w:name w:val="Heading 7 Char"/>
    <w:basedOn w:val="735"/>
    <w:uiPriority w:val="9"/>
    <w:qFormat/>
    <w:rPr>
      <w:rFonts w:ascii="Arial" w:hAnsi="Arial" w:eastAsia="Arial" w:cs="Arial"/>
      <w:b/>
      <w:bCs/>
      <w:i/>
      <w:iCs/>
      <w:sz w:val="22"/>
      <w:szCs w:val="22"/>
    </w:rPr>
  </w:style>
  <w:style w:type="character" w:styleId="787" w:customStyle="1">
    <w:name w:val="Heading 8 Char"/>
    <w:basedOn w:val="735"/>
    <w:uiPriority w:val="9"/>
    <w:qFormat/>
    <w:rPr>
      <w:rFonts w:ascii="Arial" w:hAnsi="Arial" w:eastAsia="Arial" w:cs="Arial"/>
      <w:i/>
      <w:iCs/>
      <w:sz w:val="22"/>
      <w:szCs w:val="22"/>
    </w:rPr>
  </w:style>
  <w:style w:type="character" w:styleId="788" w:customStyle="1">
    <w:name w:val="Heading 9 Char"/>
    <w:basedOn w:val="735"/>
    <w:uiPriority w:val="9"/>
    <w:qFormat/>
    <w:rPr>
      <w:rFonts w:ascii="Arial" w:hAnsi="Arial" w:eastAsia="Arial" w:cs="Arial"/>
      <w:i/>
      <w:iCs/>
      <w:sz w:val="21"/>
      <w:szCs w:val="21"/>
    </w:rPr>
  </w:style>
  <w:style w:type="paragraph" w:styleId="789">
    <w:name w:val="No Spacing"/>
    <w:uiPriority w:val="1"/>
    <w:qFormat/>
    <w:pPr>
      <w:spacing w:before="0" w:after="0" w:line="240" w:lineRule="auto"/>
    </w:pPr>
    <w:rPr>
      <w:rFonts w:hint="default" w:ascii="Times New Roman" w:hAnsi="Times New Roman" w:cs="Times New Roman" w:eastAsiaTheme="minorEastAsia"/>
    </w:rPr>
  </w:style>
  <w:style w:type="character" w:styleId="790" w:customStyle="1">
    <w:name w:val="Title Char"/>
    <w:basedOn w:val="735"/>
    <w:link w:val="769"/>
    <w:uiPriority w:val="10"/>
    <w:qFormat/>
    <w:rPr>
      <w:sz w:val="48"/>
      <w:szCs w:val="48"/>
    </w:rPr>
  </w:style>
  <w:style w:type="character" w:styleId="791" w:customStyle="1">
    <w:name w:val="Subtitle Char"/>
    <w:basedOn w:val="735"/>
    <w:uiPriority w:val="11"/>
    <w:qFormat/>
    <w:rPr>
      <w:sz w:val="24"/>
      <w:szCs w:val="24"/>
    </w:rPr>
  </w:style>
  <w:style w:type="paragraph" w:styleId="792">
    <w:name w:val="Quote"/>
    <w:basedOn w:val="725"/>
    <w:next w:val="725"/>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25"/>
    <w:next w:val="725"/>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Footer Char"/>
    <w:basedOn w:val="735"/>
    <w:uiPriority w:val="99"/>
    <w:qFormat/>
  </w:style>
  <w:style w:type="character" w:styleId="797" w:customStyle="1">
    <w:name w:val="Caption Char"/>
    <w:uiPriority w:val="99"/>
    <w:qFormat/>
  </w:style>
  <w:style w:type="table" w:styleId="798" w:customStyle="1">
    <w:name w:val="Table Grid Light"/>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Plain Table 1"/>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basedOn w:val="7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basedOn w:val="7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basedOn w:val="73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basedOn w:val="73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basedOn w:val="73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basedOn w:val="73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basedOn w:val="73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basedOn w:val="73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Grid Table 2"/>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2"/>
    <w:basedOn w:val="73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3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3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3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3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3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3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3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3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3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3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basedOn w:val="7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3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basedOn w:val="73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basedOn w:val="73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basedOn w:val="73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basedOn w:val="73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basedOn w:val="73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basedOn w:val="7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basedOn w:val="73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basedOn w:val="73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basedOn w:val="73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basedOn w:val="73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basedOn w:val="73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basedOn w:val="73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basedOn w:val="7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3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3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3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3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3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3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basedOn w:val="7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3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3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3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3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3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3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basedOn w:val="7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basedOn w:val="73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basedOn w:val="73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basedOn w:val="73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basedOn w:val="73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basedOn w:val="73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basedOn w:val="73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3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basedOn w:val="73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3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3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3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3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3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basedOn w:val="73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basedOn w:val="73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basedOn w:val="73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basedOn w:val="73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basedOn w:val="73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basedOn w:val="7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basedOn w:val="73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basedOn w:val="73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basedOn w:val="73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basedOn w:val="73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basedOn w:val="73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basedOn w:val="73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7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basedOn w:val="73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basedOn w:val="73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basedOn w:val="73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basedOn w:val="73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basedOn w:val="73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basedOn w:val="73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basedOn w:val="7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3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3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3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3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3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3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basedOn w:val="73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3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basedOn w:val="73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basedOn w:val="73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basedOn w:val="73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basedOn w:val="73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basedOn w:val="73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basedOn w:val="73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3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basedOn w:val="73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basedOn w:val="73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basedOn w:val="73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basedOn w:val="73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basedOn w:val="73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link w:val="759"/>
    <w:uiPriority w:val="99"/>
    <w:qFormat/>
    <w:rPr>
      <w:sz w:val="18"/>
    </w:rPr>
  </w:style>
  <w:style w:type="character" w:styleId="923" w:customStyle="1">
    <w:name w:val="Endnote Text Char"/>
    <w:link w:val="752"/>
    <w:uiPriority w:val="99"/>
    <w:qFormat/>
    <w:rPr>
      <w:sz w:val="20"/>
    </w:rPr>
  </w:style>
  <w:style w:type="paragraph" w:styleId="924" w:customStyle="1">
    <w:name w:val="TOC Heading"/>
    <w:uiPriority w:val="39"/>
    <w:unhideWhenUsed/>
    <w:qFormat/>
    <w:rPr>
      <w:rFonts w:hint="default" w:ascii="Times New Roman" w:hAnsi="Times New Roman" w:cs="Times New Roman" w:eastAsiaTheme="minorEastAsia"/>
    </w:rPr>
  </w:style>
  <w:style w:type="paragraph" w:styleId="92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customStyle="1">
    <w:name w:val="Char"/>
    <w:basedOn w:val="725"/>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927" w:customStyle="1">
    <w:name w:val="1"/>
    <w:basedOn w:val="725"/>
    <w:link w:val="928"/>
    <w:uiPriority w:val="0"/>
    <w:qFormat/>
    <w:pPr>
      <w:jc w:val="left"/>
      <w:spacing w:line="360" w:lineRule="auto"/>
    </w:pPr>
    <w:rPr>
      <w:szCs w:val="24"/>
    </w:rPr>
  </w:style>
  <w:style w:type="character" w:styleId="928" w:customStyle="1">
    <w:name w:val="1 Char"/>
    <w:link w:val="927"/>
    <w:uiPriority w:val="0"/>
    <w:qFormat/>
    <w:rPr>
      <w:szCs w:val="24"/>
    </w:rPr>
  </w:style>
  <w:style w:type="character" w:styleId="929" w:customStyle="1">
    <w:name w:val="标题 1 Char"/>
    <w:basedOn w:val="735"/>
    <w:link w:val="726"/>
    <w:uiPriority w:val="0"/>
    <w:qFormat/>
    <w:rPr>
      <w:rFonts w:ascii="Times New Roman" w:hAnsi="Times New Roman" w:eastAsia="黑体" w:cs="Times New Roman"/>
      <w:b/>
      <w:sz w:val="36"/>
      <w:szCs w:val="20"/>
    </w:rPr>
  </w:style>
  <w:style w:type="character" w:styleId="930" w:customStyle="1">
    <w:name w:val="标题 2 Char"/>
    <w:basedOn w:val="735"/>
    <w:link w:val="727"/>
    <w:uiPriority w:val="0"/>
    <w:qFormat/>
    <w:rPr>
      <w:rFonts w:ascii="Times New Roman" w:hAnsi="Times New Roman" w:eastAsia="黑体" w:cs="Times New Roman"/>
      <w:b/>
      <w:sz w:val="28"/>
      <w:szCs w:val="20"/>
    </w:rPr>
  </w:style>
  <w:style w:type="character" w:styleId="931" w:customStyle="1">
    <w:name w:val="标题 3 Char"/>
    <w:basedOn w:val="735"/>
    <w:link w:val="728"/>
    <w:uiPriority w:val="0"/>
    <w:qFormat/>
    <w:rPr>
      <w:rFonts w:ascii="Times New Roman" w:hAnsi="Times New Roman" w:eastAsia="黑体" w:cs="Times New Roman"/>
      <w:b/>
      <w:sz w:val="28"/>
      <w:szCs w:val="20"/>
    </w:rPr>
  </w:style>
  <w:style w:type="character" w:styleId="932" w:customStyle="1">
    <w:name w:val="标题 4 Char"/>
    <w:basedOn w:val="735"/>
    <w:link w:val="729"/>
    <w:uiPriority w:val="0"/>
    <w:qFormat/>
    <w:rPr>
      <w:rFonts w:ascii="Arial" w:hAnsi="Times New Roman" w:eastAsia="黑体" w:cs="Times New Roman"/>
      <w:sz w:val="28"/>
      <w:szCs w:val="20"/>
    </w:rPr>
  </w:style>
  <w:style w:type="character" w:styleId="933" w:customStyle="1">
    <w:name w:val="副标题 Char"/>
    <w:link w:val="758"/>
    <w:uiPriority w:val="0"/>
    <w:qFormat/>
    <w:rPr>
      <w:rFonts w:ascii="Cambria" w:hAnsi="Cambria"/>
      <w:b/>
      <w:bCs/>
      <w:sz w:val="32"/>
      <w:szCs w:val="32"/>
    </w:rPr>
  </w:style>
  <w:style w:type="character" w:styleId="934" w:customStyle="1">
    <w:name w:val="纯文本 Char"/>
    <w:link w:val="748"/>
    <w:uiPriority w:val="0"/>
    <w:qFormat/>
    <w:rPr>
      <w:rFonts w:ascii="宋体" w:hAnsi="Courier New"/>
    </w:rPr>
  </w:style>
  <w:style w:type="paragraph" w:styleId="935">
    <w:name w:val="List Paragraph"/>
    <w:basedOn w:val="725"/>
    <w:uiPriority w:val="0"/>
    <w:qFormat/>
    <w:pPr>
      <w:ind w:firstLine="420"/>
      <w:spacing w:line="360" w:lineRule="auto"/>
    </w:pPr>
    <w:rPr>
      <w:rFonts w:ascii="Times New Roman" w:hAnsi="Times New Roman" w:eastAsia="宋体" w:cs="Times New Roman"/>
      <w:szCs w:val="24"/>
    </w:rPr>
  </w:style>
  <w:style w:type="paragraph" w:styleId="936" w:customStyle="1">
    <w:name w:val="TOC 标题1"/>
    <w:basedOn w:val="726"/>
    <w:next w:val="725"/>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937" w:customStyle="1">
    <w:name w:val="标题 5 Char"/>
    <w:basedOn w:val="735"/>
    <w:link w:val="730"/>
    <w:uiPriority w:val="0"/>
    <w:semiHidden/>
    <w:qFormat/>
    <w:rPr>
      <w:rFonts w:ascii="Times New Roman" w:hAnsi="Times New Roman" w:eastAsia="宋体" w:cs="Times New Roman"/>
      <w:b/>
      <w:bCs/>
      <w:sz w:val="28"/>
      <w:szCs w:val="28"/>
    </w:rPr>
  </w:style>
  <w:style w:type="character" w:styleId="938" w:customStyle="1">
    <w:name w:val="标题 6 Char"/>
    <w:basedOn w:val="735"/>
    <w:link w:val="731"/>
    <w:uiPriority w:val="0"/>
    <w:semiHidden/>
    <w:qFormat/>
    <w:rPr>
      <w:rFonts w:ascii="Cambria" w:hAnsi="Cambria" w:eastAsia="宋体" w:cs="Times New Roman"/>
      <w:b/>
      <w:bCs/>
      <w:sz w:val="24"/>
      <w:szCs w:val="24"/>
    </w:rPr>
  </w:style>
  <w:style w:type="character" w:styleId="939" w:customStyle="1">
    <w:name w:val="标题 7 Char"/>
    <w:basedOn w:val="735"/>
    <w:link w:val="732"/>
    <w:uiPriority w:val="0"/>
    <w:semiHidden/>
    <w:qFormat/>
    <w:rPr>
      <w:rFonts w:ascii="Times New Roman" w:hAnsi="Times New Roman" w:eastAsia="宋体" w:cs="Times New Roman"/>
      <w:b/>
      <w:bCs/>
      <w:sz w:val="24"/>
      <w:szCs w:val="24"/>
    </w:rPr>
  </w:style>
  <w:style w:type="character" w:styleId="940" w:customStyle="1">
    <w:name w:val="标题 8 Char"/>
    <w:basedOn w:val="735"/>
    <w:link w:val="733"/>
    <w:uiPriority w:val="0"/>
    <w:semiHidden/>
    <w:qFormat/>
    <w:rPr>
      <w:rFonts w:ascii="Cambria" w:hAnsi="Cambria" w:eastAsia="宋体" w:cs="Times New Roman"/>
      <w:sz w:val="24"/>
      <w:szCs w:val="24"/>
    </w:rPr>
  </w:style>
  <w:style w:type="character" w:styleId="941" w:customStyle="1">
    <w:name w:val="标题 9 Char"/>
    <w:basedOn w:val="735"/>
    <w:link w:val="734"/>
    <w:uiPriority w:val="0"/>
    <w:semiHidden/>
    <w:qFormat/>
    <w:rPr>
      <w:rFonts w:ascii="Cambria" w:hAnsi="Cambria" w:eastAsia="宋体" w:cs="Times New Roman"/>
      <w:szCs w:val="21"/>
    </w:rPr>
  </w:style>
  <w:style w:type="paragraph" w:styleId="942" w:customStyle="1">
    <w:name w:val="Default"/>
    <w:link w:val="943"/>
    <w:uiPriority w:val="99"/>
    <w:qFormat/>
    <w:pPr>
      <w:widowControl w:val="off"/>
    </w:pPr>
    <w:rPr>
      <w:rFonts w:hint="default" w:ascii="MS Mincho" w:hAnsi="Calibri" w:eastAsia="宋体" w:cs="Times New Roman"/>
      <w:color w:val="000000"/>
      <w:sz w:val="21"/>
      <w:szCs w:val="24"/>
      <w:lang w:val="en-US" w:eastAsia="zh-CN" w:bidi="ar-SA"/>
    </w:rPr>
  </w:style>
  <w:style w:type="character" w:styleId="943" w:customStyle="1">
    <w:name w:val="Default Char"/>
    <w:link w:val="942"/>
    <w:uiPriority w:val="99"/>
    <w:qFormat/>
    <w:rPr>
      <w:rFonts w:ascii="MS Mincho" w:hAnsi="Calibri" w:eastAsia="宋体" w:cs="Times New Roman"/>
      <w:color w:val="000000"/>
      <w:szCs w:val="24"/>
    </w:rPr>
  </w:style>
  <w:style w:type="character" w:styleId="944" w:customStyle="1">
    <w:name w:val="批注文字 Char"/>
    <w:basedOn w:val="735"/>
    <w:link w:val="741"/>
    <w:uiPriority w:val="0"/>
    <w:qFormat/>
    <w:rPr>
      <w:rFonts w:ascii="Times New Roman" w:hAnsi="Times New Roman" w:eastAsia="宋体" w:cs="Times New Roman"/>
      <w:szCs w:val="24"/>
    </w:rPr>
  </w:style>
  <w:style w:type="character" w:styleId="945" w:customStyle="1">
    <w:name w:val="批注框文本 Char"/>
    <w:basedOn w:val="735"/>
    <w:link w:val="753"/>
    <w:uiPriority w:val="0"/>
    <w:semiHidden/>
    <w:qFormat/>
    <w:rPr>
      <w:rFonts w:ascii="Times New Roman" w:hAnsi="Times New Roman" w:eastAsia="宋体" w:cs="Times New Roman"/>
      <w:sz w:val="18"/>
      <w:szCs w:val="18"/>
    </w:rPr>
  </w:style>
  <w:style w:type="character" w:styleId="946" w:customStyle="1">
    <w:name w:val="HTML 预设格式 Char"/>
    <w:link w:val="766"/>
    <w:uiPriority w:val="0"/>
    <w:qFormat/>
    <w:rPr>
      <w:rFonts w:ascii="宋体" w:hAnsi="宋体" w:cs="宋体"/>
      <w:sz w:val="24"/>
      <w:szCs w:val="24"/>
    </w:rPr>
  </w:style>
  <w:style w:type="character" w:styleId="947" w:customStyle="1">
    <w:name w:val="HTML 预设格式 Char1"/>
    <w:basedOn w:val="735"/>
    <w:uiPriority w:val="99"/>
    <w:semiHidden/>
    <w:qFormat/>
    <w:rPr>
      <w:rFonts w:ascii="Courier New" w:hAnsi="Courier New" w:cs="Courier New"/>
      <w:sz w:val="20"/>
      <w:szCs w:val="20"/>
    </w:rPr>
  </w:style>
  <w:style w:type="character" w:styleId="948" w:customStyle="1">
    <w:name w:val="普通正文 Char"/>
    <w:link w:val="949"/>
    <w:uiPriority w:val="0"/>
    <w:qFormat/>
    <w:rPr>
      <w:rFonts w:ascii="Arial" w:hAnsi="Arial"/>
      <w:sz w:val="24"/>
      <w:szCs w:val="24"/>
    </w:rPr>
  </w:style>
  <w:style w:type="paragraph" w:styleId="949" w:customStyle="1">
    <w:name w:val="普通正文"/>
    <w:basedOn w:val="725"/>
    <w:link w:val="948"/>
    <w:uiPriority w:val="0"/>
    <w:qFormat/>
    <w:pPr>
      <w:ind w:firstLine="480"/>
      <w:jc w:val="left"/>
      <w:spacing w:before="120" w:after="120" w:line="360" w:lineRule="auto"/>
    </w:pPr>
    <w:rPr>
      <w:rFonts w:ascii="Arial" w:hAnsi="Arial"/>
      <w:sz w:val="24"/>
      <w:szCs w:val="24"/>
    </w:rPr>
  </w:style>
  <w:style w:type="paragraph" w:styleId="950" w:customStyle="1">
    <w:name w:val="Char1"/>
    <w:basedOn w:val="725"/>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951" w:customStyle="1">
    <w:name w:val="批注主题 Char"/>
    <w:basedOn w:val="944"/>
    <w:link w:val="770"/>
    <w:uiPriority w:val="99"/>
    <w:semiHidden/>
    <w:qFormat/>
    <w:rPr>
      <w:rFonts w:ascii="Times New Roman" w:hAnsi="Times New Roman" w:eastAsia="宋体" w:cs="Times New Roman"/>
      <w:b/>
      <w:bCs/>
      <w:szCs w:val="24"/>
    </w:rPr>
  </w:style>
  <w:style w:type="character" w:styleId="952" w:customStyle="1">
    <w:name w:val="文档结构图 Char"/>
    <w:basedOn w:val="735"/>
    <w:link w:val="740"/>
    <w:uiPriority w:val="99"/>
    <w:semiHidden/>
    <w:qFormat/>
    <w:rPr>
      <w:rFonts w:ascii="宋体" w:eastAsia="宋体"/>
      <w:sz w:val="18"/>
      <w:szCs w:val="18"/>
    </w:rPr>
  </w:style>
  <w:style w:type="paragraph" w:styleId="953" w:customStyle="1">
    <w:name w:val="修订1"/>
    <w:hidden/>
    <w:uiPriority w:val="99"/>
    <w:semiHidden/>
    <w:qFormat/>
    <w:rPr>
      <w:rFonts w:hint="default" w:asciiTheme="minorHAnsi" w:hAnsiTheme="minorHAnsi" w:eastAsiaTheme="minorEastAsia" w:cstheme="minorBidi"/>
      <w:sz w:val="21"/>
      <w:szCs w:val="22"/>
      <w:lang w:val="en-US" w:eastAsia="zh-CN" w:bidi="ar-SA"/>
    </w:rPr>
  </w:style>
  <w:style w:type="paragraph" w:styleId="954" w:customStyle="1">
    <w:name w:val="段"/>
    <w:next w:val="725"/>
    <w:uiPriority w:val="0"/>
    <w:qFormat/>
    <w:pPr>
      <w:ind w:firstLine="200"/>
      <w:jc w:val="both"/>
    </w:pPr>
    <w:rPr>
      <w:rFonts w:hint="default" w:ascii="宋体" w:hAnsi="Times New Roman" w:eastAsia="宋体" w:cs="Times New Roman"/>
      <w:sz w:val="21"/>
      <w:szCs w:val="22"/>
      <w:lang w:val="en-US" w:eastAsia="zh-CN" w:bidi="ar-SA"/>
    </w:rPr>
  </w:style>
  <w:style w:type="character" w:styleId="955" w:customStyle="1">
    <w:name w:val="正文文本 3 Char"/>
    <w:basedOn w:val="735"/>
    <w:link w:val="742"/>
    <w:uiPriority w:val="0"/>
    <w:qFormat/>
    <w:rPr>
      <w:rFonts w:ascii="Times New Roman" w:hAnsi="Times New Roman" w:eastAsia="宋体" w:cs="Times New Roman"/>
      <w:sz w:val="16"/>
      <w:szCs w:val="16"/>
    </w:rPr>
  </w:style>
  <w:style w:type="character" w:styleId="956" w:customStyle="1">
    <w:name w:val="正文文本缩进 Char"/>
    <w:basedOn w:val="735"/>
    <w:link w:val="744"/>
    <w:uiPriority w:val="0"/>
    <w:qFormat/>
    <w:rPr>
      <w:rFonts w:ascii="FangSong_GB2312" w:hAnsi="Times New Roman" w:eastAsia="FangSong_GB2312" w:cs="Times New Roman"/>
      <w:sz w:val="32"/>
      <w:szCs w:val="24"/>
    </w:rPr>
  </w:style>
  <w:style w:type="character" w:styleId="957" w:customStyle="1">
    <w:name w:val="日期 Char"/>
    <w:basedOn w:val="735"/>
    <w:link w:val="750"/>
    <w:uiPriority w:val="0"/>
    <w:qFormat/>
    <w:rPr>
      <w:rFonts w:ascii="FangSong_GB2312" w:hAnsi="Times New Roman" w:eastAsia="FangSong_GB2312" w:cs="Times New Roman"/>
      <w:sz w:val="32"/>
      <w:szCs w:val="24"/>
    </w:rPr>
  </w:style>
  <w:style w:type="character" w:styleId="958" w:customStyle="1">
    <w:name w:val="正文文本缩进 2 Char"/>
    <w:basedOn w:val="735"/>
    <w:link w:val="751"/>
    <w:uiPriority w:val="0"/>
    <w:qFormat/>
    <w:rPr>
      <w:rFonts w:ascii="Times New Roman" w:hAnsi="Times New Roman" w:eastAsia="FangSong_GB2312" w:cs="Times New Roman"/>
      <w:sz w:val="32"/>
      <w:szCs w:val="24"/>
    </w:rPr>
  </w:style>
  <w:style w:type="character" w:styleId="959" w:customStyle="1">
    <w:name w:val="页脚 Char"/>
    <w:basedOn w:val="735"/>
    <w:link w:val="754"/>
    <w:uiPriority w:val="0"/>
    <w:qFormat/>
    <w:rPr>
      <w:sz w:val="18"/>
      <w:szCs w:val="18"/>
    </w:rPr>
  </w:style>
  <w:style w:type="character" w:styleId="960" w:customStyle="1">
    <w:name w:val="页脚 Char1"/>
    <w:link w:val="754"/>
    <w:uiPriority w:val="0"/>
    <w:qFormat/>
    <w:rPr>
      <w:rFonts w:ascii="Times New Roman" w:hAnsi="Times New Roman" w:eastAsia="宋体" w:cs="Times New Roman"/>
      <w:sz w:val="18"/>
      <w:szCs w:val="18"/>
    </w:rPr>
  </w:style>
  <w:style w:type="character" w:styleId="961" w:customStyle="1">
    <w:name w:val="页眉 Char"/>
    <w:basedOn w:val="735"/>
    <w:link w:val="755"/>
    <w:uiPriority w:val="0"/>
    <w:qFormat/>
    <w:rPr>
      <w:rFonts w:ascii="Times New Roman" w:hAnsi="Times New Roman" w:eastAsia="宋体" w:cs="Times New Roman"/>
      <w:sz w:val="18"/>
      <w:szCs w:val="18"/>
    </w:rPr>
  </w:style>
  <w:style w:type="character" w:styleId="962" w:customStyle="1">
    <w:name w:val="正文文本缩进 3 Char"/>
    <w:basedOn w:val="735"/>
    <w:link w:val="761"/>
    <w:uiPriority w:val="0"/>
    <w:qFormat/>
    <w:rPr>
      <w:rFonts w:ascii="FangSong_GB2312" w:hAnsi="华文中宋" w:eastAsia="FangSong_GB2312" w:cs="Times New Roman"/>
      <w:sz w:val="32"/>
      <w:szCs w:val="32"/>
    </w:rPr>
  </w:style>
  <w:style w:type="character" w:styleId="963" w:customStyle="1">
    <w:name w:val="正文文本 2 Char"/>
    <w:basedOn w:val="735"/>
    <w:link w:val="765"/>
    <w:uiPriority w:val="0"/>
    <w:qFormat/>
    <w:rPr>
      <w:rFonts w:ascii="Times New Roman" w:hAnsi="Times New Roman" w:eastAsia="宋体" w:cs="Times New Roman"/>
      <w:sz w:val="21"/>
      <w:szCs w:val="24"/>
    </w:rPr>
  </w:style>
  <w:style w:type="table" w:styleId="964" w:customStyle="1">
    <w:name w:val="网格型1"/>
    <w:basedOn w:val="7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5" w:customStyle="1">
    <w:name w:val="Header Char"/>
    <w:uiPriority w:val="0"/>
    <w:qFormat/>
    <w:rPr>
      <w:rFonts w:cs="Times New Roman"/>
      <w:sz w:val="18"/>
      <w:szCs w:val="18"/>
    </w:rPr>
  </w:style>
  <w:style w:type="character" w:styleId="966" w:customStyle="1">
    <w:name w:val="style341"/>
    <w:uiPriority w:val="0"/>
    <w:qFormat/>
  </w:style>
  <w:style w:type="paragraph" w:styleId="967" w:customStyle="1">
    <w:name w:val="p0"/>
    <w:basedOn w:val="725"/>
    <w:uiPriority w:val="0"/>
    <w:qFormat/>
    <w:pPr>
      <w:widowControl/>
    </w:pPr>
    <w:rPr>
      <w:rFonts w:ascii="Calibri" w:hAnsi="Calibri" w:eastAsia="宋体" w:cs="宋体"/>
      <w:szCs w:val="21"/>
    </w:rPr>
  </w:style>
  <w:style w:type="paragraph" w:styleId="968" w:customStyle="1">
    <w:name w:val="Char Char Char Char Char1 Char Char Char"/>
    <w:basedOn w:val="725"/>
    <w:uiPriority w:val="0"/>
    <w:qFormat/>
    <w:pPr>
      <w:jc w:val="left"/>
      <w:spacing w:after="160" w:line="240" w:lineRule="exact"/>
      <w:widowControl/>
    </w:pPr>
    <w:rPr>
      <w:rFonts w:ascii="Times New Roman" w:hAnsi="Times New Roman" w:eastAsia="宋体" w:cs="Times New Roman"/>
      <w:szCs w:val="24"/>
    </w:rPr>
  </w:style>
  <w:style w:type="paragraph" w:styleId="969" w:customStyle="1">
    <w:name w:val="p15"/>
    <w:basedOn w:val="725"/>
    <w:uiPriority w:val="0"/>
    <w:qFormat/>
    <w:pPr>
      <w:ind w:firstLine="420"/>
      <w:widowControl/>
    </w:pPr>
    <w:rPr>
      <w:rFonts w:ascii="Calibri" w:hAnsi="Calibri" w:eastAsia="宋体" w:cs="宋体"/>
      <w:szCs w:val="21"/>
    </w:rPr>
  </w:style>
  <w:style w:type="paragraph" w:styleId="970" w:customStyle="1">
    <w:name w:val="_Style 31"/>
    <w:basedOn w:val="725"/>
    <w:uiPriority w:val="0"/>
    <w:qFormat/>
    <w:pPr>
      <w:jc w:val="left"/>
      <w:spacing w:after="160" w:line="240" w:lineRule="exact"/>
      <w:widowControl/>
    </w:pPr>
    <w:rPr>
      <w:rFonts w:ascii="Verdana" w:hAnsi="Verdana" w:eastAsia="FangSong_GB2312" w:cs="Times New Roman"/>
      <w:sz w:val="24"/>
      <w:szCs w:val="20"/>
      <w:lang w:eastAsia="en-US"/>
    </w:rPr>
  </w:style>
  <w:style w:type="paragraph" w:styleId="971" w:customStyle="1">
    <w:name w:val="_Style 3"/>
    <w:basedOn w:val="725"/>
    <w:uiPriority w:val="0"/>
    <w:qFormat/>
    <w:pPr>
      <w:jc w:val="left"/>
      <w:spacing w:after="160" w:line="240" w:lineRule="exact"/>
      <w:widowControl/>
    </w:pPr>
    <w:rPr>
      <w:rFonts w:ascii="Verdana" w:hAnsi="Verdana" w:eastAsia="FangSong_GB2312" w:cs="Times New Roman"/>
      <w:sz w:val="24"/>
      <w:szCs w:val="20"/>
      <w:lang w:eastAsia="en-US"/>
    </w:rPr>
  </w:style>
  <w:style w:type="paragraph" w:styleId="972" w:customStyle="1">
    <w:name w:val="Char2"/>
    <w:basedOn w:val="725"/>
    <w:uiPriority w:val="0"/>
    <w:qFormat/>
    <w:pPr>
      <w:tabs>
        <w:tab w:val="left" w:pos="360" w:leader="none"/>
      </w:tabs>
    </w:pPr>
    <w:rPr>
      <w:rFonts w:ascii="Times New Roman" w:hAnsi="Times New Roman" w:eastAsia="宋体" w:cs="Times New Roman"/>
      <w:sz w:val="24"/>
      <w:szCs w:val="24"/>
    </w:rPr>
  </w:style>
  <w:style w:type="paragraph" w:styleId="973" w:customStyle="1">
    <w:name w:val="Char Char Char Char Char Char Char Char Char"/>
    <w:basedOn w:val="725"/>
    <w:uiPriority w:val="0"/>
    <w:qFormat/>
    <w:pPr>
      <w:jc w:val="left"/>
      <w:spacing w:after="160" w:line="240" w:lineRule="exact"/>
      <w:widowControl/>
    </w:pPr>
    <w:rPr>
      <w:rFonts w:ascii="Verdana" w:hAnsi="Verdana" w:eastAsia="FangSong_GB2312" w:cs="Times New Roman"/>
      <w:sz w:val="24"/>
      <w:szCs w:val="20"/>
      <w:lang w:eastAsia="en-US"/>
    </w:rPr>
  </w:style>
  <w:style w:type="character" w:styleId="974" w:customStyle="1">
    <w:name w:val="font01"/>
    <w:uiPriority w:val="0"/>
    <w:qFormat/>
    <w:rPr>
      <w:rFonts w:hint="eastAsia" w:ascii="宋体" w:hAnsi="宋体" w:eastAsia="宋体" w:cs="宋体"/>
      <w:color w:val="000000"/>
      <w:sz w:val="22"/>
      <w:szCs w:val="22"/>
      <w:u w:val="none"/>
    </w:rPr>
  </w:style>
  <w:style w:type="character" w:styleId="975" w:customStyle="1">
    <w:name w:val="font11"/>
    <w:uiPriority w:val="0"/>
    <w:qFormat/>
    <w:rPr>
      <w:rFonts w:hint="eastAsia" w:ascii="宋体" w:hAnsi="宋体" w:eastAsia="宋体" w:cs="宋体"/>
      <w:color w:val="ff0000"/>
      <w:sz w:val="22"/>
      <w:szCs w:val="22"/>
      <w:u w:val="none"/>
    </w:rPr>
  </w:style>
  <w:style w:type="character" w:styleId="976" w:customStyle="1">
    <w:name w:val="font31"/>
    <w:basedOn w:val="735"/>
    <w:uiPriority w:val="0"/>
    <w:qFormat/>
    <w:rPr>
      <w:rFonts w:hint="eastAsia" w:ascii="仿宋" w:hAnsi="仿宋" w:eastAsia="仿宋" w:cs="仿宋"/>
      <w:b/>
      <w:bCs/>
      <w:color w:val="000000"/>
      <w:sz w:val="16"/>
      <w:szCs w:val="16"/>
      <w:u w:val="none"/>
    </w:rPr>
  </w:style>
  <w:style w:type="character" w:styleId="977" w:customStyle="1">
    <w:name w:val="font21"/>
    <w:basedOn w:val="735"/>
    <w:uiPriority w:val="0"/>
    <w:qFormat/>
    <w:rPr>
      <w:rFonts w:hint="eastAsia" w:ascii="仿宋" w:hAnsi="仿宋" w:eastAsia="仿宋" w:cs="仿宋"/>
      <w:color w:val="000000"/>
      <w:sz w:val="16"/>
      <w:szCs w:val="16"/>
      <w:u w:val="none"/>
    </w:rPr>
  </w:style>
  <w:style w:type="character" w:styleId="978" w:customStyle="1">
    <w:name w:val="font41"/>
    <w:basedOn w:val="735"/>
    <w:uiPriority w:val="0"/>
    <w:qFormat/>
    <w:rPr>
      <w:rFonts w:hint="eastAsia" w:ascii="仿宋" w:hAnsi="仿宋" w:eastAsia="仿宋" w:cs="仿宋"/>
      <w:b/>
      <w:bCs/>
      <w:color w:val="ff0000"/>
      <w:sz w:val="16"/>
      <w:szCs w:val="16"/>
      <w:u w:val="none"/>
    </w:rPr>
  </w:style>
  <w:style w:type="paragraph" w:styleId="979" w:customStyle="1">
    <w:name w:val="列出段落1"/>
    <w:basedOn w:val="725"/>
    <w:uiPriority w:val="99"/>
    <w:qFormat/>
    <w:pPr>
      <w:ind w:firstLine="420"/>
    </w:pPr>
    <w:rPr>
      <w:rFonts w:ascii="Calibri" w:hAnsi="Calibri" w:eastAsia="宋体" w:cs="Times New Roman"/>
    </w:rPr>
  </w:style>
  <w:style w:type="paragraph" w:styleId="980" w:customStyle="1">
    <w:name w:val="paragraph"/>
    <w:basedOn w:val="725"/>
    <w:uiPriority w:val="0"/>
    <w:qFormat/>
    <w:pPr>
      <w:jc w:val="left"/>
      <w:spacing w:before="100" w:beforeAutospacing="1" w:after="100" w:afterAutospacing="1"/>
      <w:widowControl/>
    </w:pPr>
    <w:rPr>
      <w:rFonts w:ascii="宋体" w:hAnsi="宋体" w:cs="宋体"/>
      <w:sz w:val="24"/>
      <w:szCs w:val="24"/>
    </w:rPr>
  </w:style>
  <w:style w:type="paragraph" w:styleId="981" w:customStyle="1">
    <w:name w:val="Preistext2"/>
    <w:basedOn w:val="725"/>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982" w:customStyle="1">
    <w:name w:val="正文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table" w:styleId="983" w:customStyle="1">
    <w:name w:val="Grid Table 2 - Accent 1"/>
    <w:basedOn w:val="736"/>
    <w:uiPriority w:val="99"/>
    <w:qFormat/>
    <w:tblPr>
      <w:tblBorders>
        <w:bottom w:val="single" w:color="68A2D8" w:sz="4" w:space="0"/>
        <w:insideH w:val="single" w:color="68A2D8" w:sz="4" w:space="0"/>
        <w:insideV w:val="single" w:color="68A2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paragraph" w:styleId="984" w:customStyle="1">
    <w:name w:val="正文1"/>
    <w:basedOn w:val="725"/>
    <w:next w:val="725"/>
    <w:uiPriority w:val="0"/>
    <w:qFormat/>
    <w:rPr>
      <w:rFonts w:ascii="Times New Roman" w:hAnsi="Times New Roman" w:eastAsia="宋体" w:cs="Times New Roman"/>
      <w:szCs w:val="24"/>
    </w:rPr>
  </w:style>
  <w:style w:type="paragraph" w:styleId="985" w:customStyle="1">
    <w:name w:val="Heading 1"/>
    <w:basedOn w:val="725"/>
    <w:next w:val="725"/>
    <w:uiPriority w:val="0"/>
    <w:qFormat/>
    <w:pPr>
      <w:jc w:val="center"/>
      <w:keepLines/>
      <w:keepNext/>
      <w:spacing w:line="360" w:lineRule="auto"/>
      <w:widowControl/>
      <w:outlineLvl w:val="0"/>
    </w:pPr>
    <w:rPr>
      <w:rFonts w:ascii="Arial" w:hAnsi="Arial" w:eastAsia="宋体" w:cs="Arial"/>
      <w:b/>
      <w:sz w:val="36"/>
      <w:szCs w:val="40"/>
    </w:rPr>
  </w:style>
  <w:style w:type="table" w:styleId="986" w:customStyle="1">
    <w:name w:val="网格型6"/>
    <w:basedOn w:val="736"/>
    <w:uiPriority w:val="99"/>
    <w:semiHidden/>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7" w:customStyle="1">
    <w:name w:val="网格型3"/>
    <w:basedOn w:val="736"/>
    <w:uiPriority w:val="99"/>
    <w:semiHidden/>
    <w:unhideWhenUsed/>
    <w:qFormat/>
    <w:pPr>
      <w:jc w:val="both"/>
      <w:widowControl w:val="off"/>
    </w:pPr>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8" w:customStyle="1">
    <w:name w:val="样式 样式 左侧:  2 字符 + 左侧:  0.85 厘米 首行缩进:  2 字符1"/>
    <w:basedOn w:val="725"/>
    <w:uiPriority w:val="0"/>
    <w:qFormat/>
    <w:pPr>
      <w:ind w:left="482" w:firstLine="200"/>
    </w:pPr>
    <w:rPr>
      <w:rFonts w:ascii="Times New Roman" w:hAnsi="Times New Roman" w:eastAsia="宋体" w:cs="宋体"/>
      <w:szCs w:val="20"/>
    </w:rPr>
  </w:style>
  <w:style w:type="character" w:styleId="989" w:customStyle="1">
    <w:name w:val="font61"/>
    <w:basedOn w:val="735"/>
    <w:uiPriority w:val="0"/>
    <w:qFormat/>
    <w:rPr>
      <w:rFonts w:hint="default" w:ascii="等线" w:hAnsi="等线" w:eastAsia="等线" w:cs="等线"/>
      <w:color w:val="000000"/>
      <w:sz w:val="24"/>
      <w:szCs w:val="24"/>
      <w:u w:val="none"/>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杨洋</cp:lastModifiedBy>
  <cp:revision>713</cp:revision>
  <dcterms:created xsi:type="dcterms:W3CDTF">2021-07-28T12:14:00Z</dcterms:created>
  <dcterms:modified xsi:type="dcterms:W3CDTF">2026-01-14T08:57:36Z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CD71724D0A3946CB88A9CD22191D68E9_13</vt:lpwstr>
  </property>
  <property fmtid="{D5CDD505-2E9C-101B-9397-08002B2CF9AE}" pid="4" name="KSOTemplateDocerSaveRecord">
    <vt:lpwstr>eyJoZGlkIjoiZGNhNTc1ZWVhMzA0YTMwNTc1YmIzZmQ0MWIwMTM0MDciLCJ1c2VySWQiOiIyNzIxODk3NDkifQ==</vt:lpwstr>
  </property>
</Properties>
</file>